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CE6" w:rsidRDefault="00726CE6" w:rsidP="00726CE6">
      <w:pPr>
        <w:pStyle w:val="1"/>
        <w:spacing w:before="0" w:line="240" w:lineRule="auto"/>
        <w:jc w:val="center"/>
        <w:rPr>
          <w:rFonts w:ascii="Times New Roman" w:hAnsi="Times New Roman"/>
          <w:color w:val="auto"/>
        </w:rPr>
      </w:pPr>
      <w:bookmarkStart w:id="0" w:name="_Toc440378720"/>
      <w:r>
        <w:rPr>
          <w:rFonts w:ascii="Times New Roman" w:hAnsi="Times New Roman"/>
          <w:color w:val="auto"/>
        </w:rPr>
        <w:t>ИТОГИ СОЦИАЛЬНО-ЭКОНОМИЧЕСКОГО РАЗВИТИЯ БАБУШКИНСКОГО МУНИЦИПАЛЬНОГО РАЙОНА ЗА 202</w:t>
      </w:r>
      <w:r w:rsidR="007B6111">
        <w:rPr>
          <w:rFonts w:ascii="Times New Roman" w:hAnsi="Times New Roman"/>
          <w:color w:val="auto"/>
        </w:rPr>
        <w:t>2</w:t>
      </w:r>
      <w:r>
        <w:rPr>
          <w:rFonts w:ascii="Times New Roman" w:hAnsi="Times New Roman"/>
          <w:color w:val="auto"/>
        </w:rPr>
        <w:t xml:space="preserve"> ГОД.</w:t>
      </w:r>
    </w:p>
    <w:p w:rsidR="00726CE6" w:rsidRDefault="00726CE6" w:rsidP="00726CE6">
      <w:pPr>
        <w:pStyle w:val="1"/>
        <w:spacing w:before="0" w:line="240" w:lineRule="auto"/>
        <w:rPr>
          <w:rFonts w:ascii="Times New Roman" w:hAnsi="Times New Roman"/>
          <w:color w:val="auto"/>
        </w:rPr>
      </w:pPr>
    </w:p>
    <w:p w:rsidR="00726CE6" w:rsidRPr="00090EE2" w:rsidRDefault="00726CE6" w:rsidP="00726CE6">
      <w:pPr>
        <w:pStyle w:val="1"/>
        <w:spacing w:before="0" w:line="240" w:lineRule="auto"/>
        <w:rPr>
          <w:rFonts w:ascii="Times New Roman" w:hAnsi="Times New Roman"/>
          <w:color w:val="auto"/>
        </w:rPr>
      </w:pPr>
      <w:r w:rsidRPr="00090EE2">
        <w:rPr>
          <w:rFonts w:ascii="Times New Roman" w:hAnsi="Times New Roman"/>
          <w:color w:val="auto"/>
        </w:rPr>
        <w:t>Социально-демографическая ситуация</w:t>
      </w:r>
      <w:bookmarkEnd w:id="0"/>
    </w:p>
    <w:p w:rsidR="00EE1153" w:rsidRPr="00C87B30" w:rsidRDefault="00EE1153" w:rsidP="00EE1153">
      <w:pPr>
        <w:spacing w:after="0" w:line="240" w:lineRule="auto"/>
        <w:ind w:firstLine="708"/>
        <w:jc w:val="both"/>
        <w:rPr>
          <w:rFonts w:ascii="Times New Roman" w:hAnsi="Times New Roman"/>
          <w:sz w:val="28"/>
          <w:szCs w:val="28"/>
        </w:rPr>
      </w:pPr>
      <w:r w:rsidRPr="00C87B30">
        <w:rPr>
          <w:rFonts w:ascii="Times New Roman" w:hAnsi="Times New Roman"/>
          <w:sz w:val="28"/>
          <w:szCs w:val="28"/>
        </w:rPr>
        <w:t xml:space="preserve">Численность населения </w:t>
      </w:r>
      <w:r>
        <w:rPr>
          <w:rFonts w:ascii="Times New Roman" w:hAnsi="Times New Roman"/>
          <w:sz w:val="28"/>
          <w:szCs w:val="28"/>
        </w:rPr>
        <w:t>округа</w:t>
      </w:r>
      <w:r w:rsidRPr="00C87B30">
        <w:rPr>
          <w:rFonts w:ascii="Times New Roman" w:hAnsi="Times New Roman"/>
          <w:sz w:val="28"/>
          <w:szCs w:val="28"/>
        </w:rPr>
        <w:t xml:space="preserve"> с учетом естественных и миграционных процессов без предварительных итогов Всероссийской переписи населения на 1 января 2022 года составила 10784 человек, в том числе сельское поселение Бабушкинское 4660 чел., </w:t>
      </w:r>
      <w:proofErr w:type="spellStart"/>
      <w:r w:rsidRPr="00C87B30">
        <w:rPr>
          <w:rFonts w:ascii="Times New Roman" w:hAnsi="Times New Roman"/>
          <w:sz w:val="28"/>
          <w:szCs w:val="28"/>
        </w:rPr>
        <w:t>Березниковское</w:t>
      </w:r>
      <w:proofErr w:type="spellEnd"/>
      <w:r w:rsidRPr="00C87B30">
        <w:rPr>
          <w:rFonts w:ascii="Times New Roman" w:hAnsi="Times New Roman"/>
          <w:sz w:val="28"/>
          <w:szCs w:val="28"/>
        </w:rPr>
        <w:t xml:space="preserve"> сельское поселение 416 чел., сельское поселение </w:t>
      </w:r>
      <w:proofErr w:type="spellStart"/>
      <w:r w:rsidRPr="00C87B30">
        <w:rPr>
          <w:rFonts w:ascii="Times New Roman" w:hAnsi="Times New Roman"/>
          <w:sz w:val="28"/>
          <w:szCs w:val="28"/>
        </w:rPr>
        <w:t>Миньковское</w:t>
      </w:r>
      <w:proofErr w:type="spellEnd"/>
      <w:r w:rsidRPr="00C87B30">
        <w:rPr>
          <w:rFonts w:ascii="Times New Roman" w:hAnsi="Times New Roman"/>
          <w:sz w:val="28"/>
          <w:szCs w:val="28"/>
        </w:rPr>
        <w:t xml:space="preserve"> 2135 чел., сельское поселение </w:t>
      </w:r>
      <w:proofErr w:type="spellStart"/>
      <w:r w:rsidRPr="00C87B30">
        <w:rPr>
          <w:rFonts w:ascii="Times New Roman" w:hAnsi="Times New Roman"/>
          <w:sz w:val="28"/>
          <w:szCs w:val="28"/>
        </w:rPr>
        <w:t>Подболотное</w:t>
      </w:r>
      <w:proofErr w:type="spellEnd"/>
      <w:r w:rsidRPr="00C87B30">
        <w:rPr>
          <w:rFonts w:ascii="Times New Roman" w:hAnsi="Times New Roman"/>
          <w:sz w:val="28"/>
          <w:szCs w:val="28"/>
        </w:rPr>
        <w:t xml:space="preserve"> 1292 чел., </w:t>
      </w:r>
      <w:proofErr w:type="spellStart"/>
      <w:r w:rsidRPr="00C87B30">
        <w:rPr>
          <w:rFonts w:ascii="Times New Roman" w:hAnsi="Times New Roman"/>
          <w:sz w:val="28"/>
          <w:szCs w:val="28"/>
        </w:rPr>
        <w:t>Рослятинское</w:t>
      </w:r>
      <w:proofErr w:type="spellEnd"/>
      <w:r w:rsidRPr="00C87B30">
        <w:rPr>
          <w:rFonts w:ascii="Times New Roman" w:hAnsi="Times New Roman"/>
          <w:sz w:val="28"/>
          <w:szCs w:val="28"/>
        </w:rPr>
        <w:t xml:space="preserve"> сельское поселение 1721 чел., </w:t>
      </w:r>
      <w:proofErr w:type="spellStart"/>
      <w:r w:rsidRPr="00C87B30">
        <w:rPr>
          <w:rFonts w:ascii="Times New Roman" w:hAnsi="Times New Roman"/>
          <w:sz w:val="28"/>
          <w:szCs w:val="28"/>
        </w:rPr>
        <w:t>Тимановское</w:t>
      </w:r>
      <w:proofErr w:type="spellEnd"/>
      <w:r w:rsidRPr="00C87B30">
        <w:rPr>
          <w:rFonts w:ascii="Times New Roman" w:hAnsi="Times New Roman"/>
          <w:sz w:val="28"/>
          <w:szCs w:val="28"/>
        </w:rPr>
        <w:t xml:space="preserve"> поселение 560 чел. За последние пять лет население </w:t>
      </w:r>
      <w:r>
        <w:rPr>
          <w:rFonts w:ascii="Times New Roman" w:hAnsi="Times New Roman"/>
          <w:sz w:val="28"/>
          <w:szCs w:val="28"/>
        </w:rPr>
        <w:t xml:space="preserve">округа </w:t>
      </w:r>
      <w:r w:rsidRPr="00C87B30">
        <w:rPr>
          <w:rFonts w:ascii="Times New Roman" w:hAnsi="Times New Roman"/>
          <w:sz w:val="28"/>
          <w:szCs w:val="28"/>
        </w:rPr>
        <w:t xml:space="preserve">уменьшилось на 872 человека или на 7,5 п.п. Причины снижения численности: естественная убыль населения и миграция за пределы </w:t>
      </w:r>
      <w:r>
        <w:rPr>
          <w:rFonts w:ascii="Times New Roman" w:hAnsi="Times New Roman"/>
          <w:sz w:val="28"/>
          <w:szCs w:val="28"/>
        </w:rPr>
        <w:t>муниципального образования.</w:t>
      </w:r>
    </w:p>
    <w:p w:rsidR="00EE1153" w:rsidRPr="00C87B30" w:rsidRDefault="00EE1153" w:rsidP="00EE1153">
      <w:pPr>
        <w:spacing w:after="0" w:line="240" w:lineRule="auto"/>
        <w:jc w:val="both"/>
        <w:rPr>
          <w:rFonts w:ascii="Times New Roman" w:hAnsi="Times New Roman"/>
          <w:sz w:val="28"/>
          <w:szCs w:val="28"/>
        </w:rPr>
      </w:pPr>
      <w:r w:rsidRPr="00C87B30">
        <w:rPr>
          <w:rFonts w:ascii="Times New Roman" w:hAnsi="Times New Roman"/>
          <w:sz w:val="28"/>
          <w:szCs w:val="28"/>
        </w:rPr>
        <w:tab/>
        <w:t>За январь-сентябрь  2022 года родилось 50 детей  или на 12 детей меньше, чем за соответствующий период прошлого года, умерло 134 человека или на 66 человек меньше уровня прошлого года. Естественная убыль составила 84 человека. Данный показатель ниже уровня прошлого года 53 человека.</w:t>
      </w:r>
    </w:p>
    <w:p w:rsidR="00EE1153" w:rsidRPr="00C87B30" w:rsidRDefault="00EE1153" w:rsidP="00EE1153">
      <w:pPr>
        <w:spacing w:after="0" w:line="240" w:lineRule="auto"/>
        <w:jc w:val="both"/>
        <w:rPr>
          <w:rFonts w:ascii="Times New Roman" w:hAnsi="Times New Roman"/>
          <w:sz w:val="28"/>
          <w:szCs w:val="28"/>
        </w:rPr>
      </w:pPr>
      <w:r w:rsidRPr="00C87B30">
        <w:rPr>
          <w:rFonts w:ascii="Times New Roman" w:hAnsi="Times New Roman"/>
          <w:sz w:val="28"/>
          <w:szCs w:val="28"/>
        </w:rPr>
        <w:tab/>
        <w:t>Одна из отрицательных тенденций - миграция населения трудоспособного возраста. В трудоспособном возрасте находится 49,3 % населения (выше уровня прошлого года на 1,4%), старше трудоспособного – 30,1 % (ниже уровня прошлого года на 1,3%), моложе трудоспособного возраста –20,6 % населения (ниже уровня прошлого года 0,2 п.п.). Численность экономически активного населения на 1 января 2021 года составила 7325 чел.</w:t>
      </w:r>
    </w:p>
    <w:p w:rsidR="00EE1153" w:rsidRPr="00C87B30" w:rsidRDefault="00EE1153" w:rsidP="00EE1153">
      <w:pPr>
        <w:spacing w:after="0" w:line="240" w:lineRule="auto"/>
        <w:jc w:val="both"/>
        <w:rPr>
          <w:rFonts w:ascii="Times New Roman" w:hAnsi="Times New Roman"/>
          <w:sz w:val="28"/>
          <w:szCs w:val="28"/>
        </w:rPr>
      </w:pPr>
      <w:r w:rsidRPr="00C87B30">
        <w:rPr>
          <w:rFonts w:ascii="Times New Roman" w:hAnsi="Times New Roman"/>
          <w:sz w:val="28"/>
          <w:szCs w:val="28"/>
        </w:rPr>
        <w:tab/>
        <w:t xml:space="preserve">Миграционная убыль за 9 месяцев 2022 года составила 11 человек. Это выше уровня прошлого года на 28 человек. </w:t>
      </w:r>
    </w:p>
    <w:p w:rsidR="00EE1153" w:rsidRDefault="00EE1153" w:rsidP="00EE1153">
      <w:pPr>
        <w:spacing w:after="0" w:line="240" w:lineRule="auto"/>
        <w:jc w:val="both"/>
        <w:rPr>
          <w:rFonts w:ascii="Times New Roman" w:hAnsi="Times New Roman"/>
          <w:sz w:val="28"/>
          <w:szCs w:val="28"/>
        </w:rPr>
      </w:pPr>
      <w:r>
        <w:rPr>
          <w:rFonts w:ascii="Times New Roman" w:hAnsi="Times New Roman"/>
          <w:sz w:val="28"/>
          <w:szCs w:val="28"/>
        </w:rPr>
        <w:tab/>
        <w:t>Динамика естественных и миграционных процессов за 5 лет представлена в таблице.</w:t>
      </w:r>
    </w:p>
    <w:tbl>
      <w:tblPr>
        <w:tblW w:w="0" w:type="auto"/>
        <w:tblInd w:w="7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0"/>
        <w:gridCol w:w="1270"/>
        <w:gridCol w:w="1183"/>
        <w:gridCol w:w="1586"/>
        <w:gridCol w:w="1262"/>
        <w:gridCol w:w="1212"/>
        <w:gridCol w:w="1807"/>
      </w:tblGrid>
      <w:tr w:rsidR="00EE1153" w:rsidTr="00EA0E85">
        <w:tc>
          <w:tcPr>
            <w:tcW w:w="112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Год</w:t>
            </w:r>
          </w:p>
        </w:tc>
        <w:tc>
          <w:tcPr>
            <w:tcW w:w="127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Родилось</w:t>
            </w:r>
          </w:p>
        </w:tc>
        <w:tc>
          <w:tcPr>
            <w:tcW w:w="1183"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Умерло</w:t>
            </w:r>
          </w:p>
        </w:tc>
        <w:tc>
          <w:tcPr>
            <w:tcW w:w="1586"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Естественная прибыль (+) убыль (-)</w:t>
            </w:r>
          </w:p>
        </w:tc>
        <w:tc>
          <w:tcPr>
            <w:tcW w:w="126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Прибыло</w:t>
            </w:r>
          </w:p>
        </w:tc>
        <w:tc>
          <w:tcPr>
            <w:tcW w:w="121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Выбыло</w:t>
            </w:r>
          </w:p>
        </w:tc>
        <w:tc>
          <w:tcPr>
            <w:tcW w:w="1807"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Миграционный прирост (+) убыль (-)</w:t>
            </w:r>
          </w:p>
        </w:tc>
      </w:tr>
      <w:tr w:rsidR="00EE1153" w:rsidTr="00EA0E85">
        <w:tc>
          <w:tcPr>
            <w:tcW w:w="112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2018</w:t>
            </w:r>
          </w:p>
        </w:tc>
        <w:tc>
          <w:tcPr>
            <w:tcW w:w="127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102</w:t>
            </w:r>
          </w:p>
        </w:tc>
        <w:tc>
          <w:tcPr>
            <w:tcW w:w="1183"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218</w:t>
            </w:r>
          </w:p>
        </w:tc>
        <w:tc>
          <w:tcPr>
            <w:tcW w:w="1586"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-116</w:t>
            </w:r>
          </w:p>
        </w:tc>
        <w:tc>
          <w:tcPr>
            <w:tcW w:w="126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291</w:t>
            </w:r>
          </w:p>
        </w:tc>
        <w:tc>
          <w:tcPr>
            <w:tcW w:w="121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362</w:t>
            </w:r>
          </w:p>
        </w:tc>
        <w:tc>
          <w:tcPr>
            <w:tcW w:w="1807"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-71</w:t>
            </w:r>
          </w:p>
        </w:tc>
      </w:tr>
      <w:tr w:rsidR="00EE1153" w:rsidTr="00EA0E85">
        <w:tc>
          <w:tcPr>
            <w:tcW w:w="112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2019</w:t>
            </w:r>
          </w:p>
        </w:tc>
        <w:tc>
          <w:tcPr>
            <w:tcW w:w="127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106</w:t>
            </w:r>
          </w:p>
        </w:tc>
        <w:tc>
          <w:tcPr>
            <w:tcW w:w="1183"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192</w:t>
            </w:r>
          </w:p>
        </w:tc>
        <w:tc>
          <w:tcPr>
            <w:tcW w:w="1586"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-86</w:t>
            </w:r>
          </w:p>
        </w:tc>
        <w:tc>
          <w:tcPr>
            <w:tcW w:w="126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268</w:t>
            </w:r>
          </w:p>
        </w:tc>
        <w:tc>
          <w:tcPr>
            <w:tcW w:w="121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383</w:t>
            </w:r>
          </w:p>
        </w:tc>
        <w:tc>
          <w:tcPr>
            <w:tcW w:w="1807"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-115</w:t>
            </w:r>
          </w:p>
        </w:tc>
      </w:tr>
      <w:tr w:rsidR="00EE1153" w:rsidTr="00EA0E85">
        <w:tc>
          <w:tcPr>
            <w:tcW w:w="112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2020</w:t>
            </w:r>
          </w:p>
        </w:tc>
        <w:tc>
          <w:tcPr>
            <w:tcW w:w="127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84</w:t>
            </w:r>
          </w:p>
        </w:tc>
        <w:tc>
          <w:tcPr>
            <w:tcW w:w="1183"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220</w:t>
            </w:r>
          </w:p>
        </w:tc>
        <w:tc>
          <w:tcPr>
            <w:tcW w:w="1586"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-128</w:t>
            </w:r>
          </w:p>
        </w:tc>
        <w:tc>
          <w:tcPr>
            <w:tcW w:w="126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216</w:t>
            </w:r>
          </w:p>
        </w:tc>
        <w:tc>
          <w:tcPr>
            <w:tcW w:w="121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280</w:t>
            </w:r>
          </w:p>
        </w:tc>
        <w:tc>
          <w:tcPr>
            <w:tcW w:w="1807"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-64</w:t>
            </w:r>
          </w:p>
        </w:tc>
      </w:tr>
      <w:tr w:rsidR="00EE1153" w:rsidTr="00EA0E85">
        <w:tc>
          <w:tcPr>
            <w:tcW w:w="112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2021</w:t>
            </w:r>
          </w:p>
        </w:tc>
        <w:tc>
          <w:tcPr>
            <w:tcW w:w="127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79</w:t>
            </w:r>
          </w:p>
        </w:tc>
        <w:tc>
          <w:tcPr>
            <w:tcW w:w="1183"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264</w:t>
            </w:r>
          </w:p>
        </w:tc>
        <w:tc>
          <w:tcPr>
            <w:tcW w:w="1586"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-185</w:t>
            </w:r>
          </w:p>
        </w:tc>
        <w:tc>
          <w:tcPr>
            <w:tcW w:w="126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215</w:t>
            </w:r>
          </w:p>
        </w:tc>
        <w:tc>
          <w:tcPr>
            <w:tcW w:w="121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323</w:t>
            </w:r>
          </w:p>
        </w:tc>
        <w:tc>
          <w:tcPr>
            <w:tcW w:w="1807"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-108</w:t>
            </w:r>
          </w:p>
        </w:tc>
      </w:tr>
      <w:tr w:rsidR="00EE1153" w:rsidTr="00EA0E85">
        <w:tc>
          <w:tcPr>
            <w:tcW w:w="112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2022 (9 месяцев)</w:t>
            </w:r>
          </w:p>
        </w:tc>
        <w:tc>
          <w:tcPr>
            <w:tcW w:w="1270"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50</w:t>
            </w:r>
          </w:p>
        </w:tc>
        <w:tc>
          <w:tcPr>
            <w:tcW w:w="1183"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134</w:t>
            </w:r>
          </w:p>
        </w:tc>
        <w:tc>
          <w:tcPr>
            <w:tcW w:w="1586"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-84</w:t>
            </w:r>
          </w:p>
        </w:tc>
        <w:tc>
          <w:tcPr>
            <w:tcW w:w="126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179</w:t>
            </w:r>
          </w:p>
        </w:tc>
        <w:tc>
          <w:tcPr>
            <w:tcW w:w="1212"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190</w:t>
            </w:r>
          </w:p>
        </w:tc>
        <w:tc>
          <w:tcPr>
            <w:tcW w:w="1807" w:type="dxa"/>
          </w:tcPr>
          <w:p w:rsidR="00EE1153" w:rsidRPr="00BF62D1" w:rsidRDefault="00EE1153" w:rsidP="003F55A3">
            <w:pPr>
              <w:spacing w:after="0" w:line="240" w:lineRule="auto"/>
              <w:jc w:val="both"/>
              <w:rPr>
                <w:rFonts w:ascii="Times New Roman" w:hAnsi="Times New Roman"/>
                <w:sz w:val="24"/>
                <w:szCs w:val="24"/>
              </w:rPr>
            </w:pPr>
            <w:r w:rsidRPr="00BF62D1">
              <w:rPr>
                <w:rFonts w:ascii="Times New Roman" w:hAnsi="Times New Roman"/>
                <w:sz w:val="24"/>
                <w:szCs w:val="24"/>
              </w:rPr>
              <w:t>-11</w:t>
            </w:r>
          </w:p>
        </w:tc>
      </w:tr>
    </w:tbl>
    <w:p w:rsidR="00EE1153" w:rsidRPr="005717B3" w:rsidRDefault="00EE1153" w:rsidP="00EE1153">
      <w:pPr>
        <w:spacing w:after="0" w:line="240" w:lineRule="auto"/>
        <w:jc w:val="both"/>
        <w:rPr>
          <w:rFonts w:ascii="Times New Roman" w:hAnsi="Times New Roman"/>
          <w:sz w:val="28"/>
          <w:szCs w:val="28"/>
        </w:rPr>
      </w:pPr>
      <w:r w:rsidRPr="00090EE2">
        <w:rPr>
          <w:rFonts w:ascii="Times New Roman" w:hAnsi="Times New Roman"/>
          <w:sz w:val="28"/>
          <w:szCs w:val="28"/>
        </w:rPr>
        <w:tab/>
      </w:r>
      <w:r w:rsidRPr="005717B3">
        <w:rPr>
          <w:rFonts w:ascii="Times New Roman" w:hAnsi="Times New Roman"/>
          <w:sz w:val="28"/>
          <w:szCs w:val="28"/>
        </w:rPr>
        <w:t>По половозрастному составу 49,8 %или 5612 человека</w:t>
      </w:r>
      <w:r>
        <w:rPr>
          <w:rFonts w:ascii="Times New Roman" w:hAnsi="Times New Roman"/>
          <w:sz w:val="28"/>
          <w:szCs w:val="28"/>
        </w:rPr>
        <w:t xml:space="preserve"> </w:t>
      </w:r>
      <w:r w:rsidRPr="005717B3">
        <w:rPr>
          <w:rFonts w:ascii="Times New Roman" w:hAnsi="Times New Roman"/>
          <w:sz w:val="28"/>
          <w:szCs w:val="28"/>
        </w:rPr>
        <w:t xml:space="preserve">населения </w:t>
      </w:r>
      <w:r>
        <w:rPr>
          <w:rFonts w:ascii="Times New Roman" w:hAnsi="Times New Roman"/>
          <w:sz w:val="28"/>
          <w:szCs w:val="28"/>
        </w:rPr>
        <w:t>округ</w:t>
      </w:r>
      <w:r w:rsidRPr="005717B3">
        <w:rPr>
          <w:rFonts w:ascii="Times New Roman" w:hAnsi="Times New Roman"/>
          <w:sz w:val="28"/>
          <w:szCs w:val="28"/>
        </w:rPr>
        <w:t>а составляют мужчины,50,2% или 5656 человек - женщины.</w:t>
      </w:r>
    </w:p>
    <w:p w:rsidR="00EE1153" w:rsidRPr="00090EE2" w:rsidRDefault="00EE1153" w:rsidP="00EE1153">
      <w:pPr>
        <w:autoSpaceDE w:val="0"/>
        <w:autoSpaceDN w:val="0"/>
        <w:adjustRightInd w:val="0"/>
        <w:spacing w:after="0" w:line="240" w:lineRule="auto"/>
        <w:jc w:val="both"/>
        <w:rPr>
          <w:rFonts w:ascii="Times New Roman" w:hAnsi="Times New Roman"/>
          <w:sz w:val="28"/>
          <w:szCs w:val="28"/>
        </w:rPr>
      </w:pPr>
      <w:r w:rsidRPr="005717B3">
        <w:rPr>
          <w:rFonts w:ascii="Times New Roman" w:hAnsi="Times New Roman"/>
          <w:sz w:val="28"/>
          <w:szCs w:val="28"/>
        </w:rPr>
        <w:tab/>
        <w:t xml:space="preserve">Население </w:t>
      </w:r>
      <w:r>
        <w:rPr>
          <w:rFonts w:ascii="Times New Roman" w:hAnsi="Times New Roman"/>
          <w:sz w:val="28"/>
          <w:szCs w:val="28"/>
        </w:rPr>
        <w:t>округ</w:t>
      </w:r>
      <w:r w:rsidRPr="005717B3">
        <w:rPr>
          <w:rFonts w:ascii="Times New Roman" w:hAnsi="Times New Roman"/>
          <w:sz w:val="28"/>
          <w:szCs w:val="28"/>
        </w:rPr>
        <w:t xml:space="preserve">а имеет достаточно высокий образовательный уровень, 42 % </w:t>
      </w:r>
      <w:bookmarkStart w:id="1" w:name="_GoBack"/>
      <w:bookmarkEnd w:id="1"/>
      <w:r w:rsidRPr="005717B3">
        <w:rPr>
          <w:rFonts w:ascii="Times New Roman" w:hAnsi="Times New Roman"/>
          <w:sz w:val="28"/>
          <w:szCs w:val="28"/>
        </w:rPr>
        <w:t xml:space="preserve">занятых в экономике </w:t>
      </w:r>
      <w:r>
        <w:rPr>
          <w:rFonts w:ascii="Times New Roman" w:hAnsi="Times New Roman"/>
          <w:sz w:val="28"/>
          <w:szCs w:val="28"/>
        </w:rPr>
        <w:t>округ</w:t>
      </w:r>
      <w:r w:rsidRPr="005717B3">
        <w:rPr>
          <w:rFonts w:ascii="Times New Roman" w:hAnsi="Times New Roman"/>
          <w:sz w:val="28"/>
          <w:szCs w:val="28"/>
        </w:rPr>
        <w:t>а имеют высшее и среднее</w:t>
      </w:r>
      <w:r>
        <w:rPr>
          <w:rFonts w:ascii="Times New Roman" w:hAnsi="Times New Roman"/>
          <w:sz w:val="28"/>
          <w:szCs w:val="28"/>
        </w:rPr>
        <w:t xml:space="preserve"> </w:t>
      </w:r>
      <w:r w:rsidRPr="005717B3">
        <w:rPr>
          <w:rFonts w:ascii="Times New Roman" w:hAnsi="Times New Roman"/>
          <w:sz w:val="28"/>
          <w:szCs w:val="28"/>
        </w:rPr>
        <w:t>профессиональное образование.</w:t>
      </w:r>
    </w:p>
    <w:p w:rsidR="00EE1153" w:rsidRPr="00090EE2" w:rsidRDefault="00EE1153" w:rsidP="00EE1153">
      <w:pPr>
        <w:spacing w:after="0" w:line="240" w:lineRule="auto"/>
        <w:jc w:val="both"/>
        <w:rPr>
          <w:rFonts w:ascii="Times New Roman" w:hAnsi="Times New Roman"/>
          <w:sz w:val="28"/>
          <w:szCs w:val="28"/>
        </w:rPr>
      </w:pPr>
      <w:r w:rsidRPr="00090EE2">
        <w:rPr>
          <w:rFonts w:ascii="Times New Roman" w:hAnsi="Times New Roman"/>
          <w:sz w:val="28"/>
          <w:szCs w:val="28"/>
        </w:rPr>
        <w:tab/>
        <w:t>Численность работающих</w:t>
      </w:r>
      <w:r>
        <w:rPr>
          <w:rFonts w:ascii="Times New Roman" w:hAnsi="Times New Roman"/>
          <w:sz w:val="28"/>
          <w:szCs w:val="28"/>
        </w:rPr>
        <w:t xml:space="preserve"> </w:t>
      </w:r>
      <w:r w:rsidRPr="00090EE2">
        <w:rPr>
          <w:rFonts w:ascii="Times New Roman" w:hAnsi="Times New Roman"/>
          <w:sz w:val="28"/>
          <w:szCs w:val="28"/>
        </w:rPr>
        <w:t>на предприятиях,</w:t>
      </w:r>
      <w:r>
        <w:rPr>
          <w:rFonts w:ascii="Times New Roman" w:hAnsi="Times New Roman"/>
          <w:sz w:val="28"/>
          <w:szCs w:val="28"/>
        </w:rPr>
        <w:t xml:space="preserve"> </w:t>
      </w:r>
      <w:r w:rsidRPr="00090EE2">
        <w:rPr>
          <w:rFonts w:ascii="Times New Roman" w:hAnsi="Times New Roman"/>
          <w:sz w:val="28"/>
          <w:szCs w:val="28"/>
        </w:rPr>
        <w:t xml:space="preserve">учреждениях и организациях </w:t>
      </w:r>
      <w:r>
        <w:rPr>
          <w:rFonts w:ascii="Times New Roman" w:hAnsi="Times New Roman"/>
          <w:sz w:val="28"/>
          <w:szCs w:val="28"/>
        </w:rPr>
        <w:t>округ</w:t>
      </w:r>
      <w:r w:rsidRPr="00090EE2">
        <w:rPr>
          <w:rFonts w:ascii="Times New Roman" w:hAnsi="Times New Roman"/>
          <w:sz w:val="28"/>
          <w:szCs w:val="28"/>
        </w:rPr>
        <w:t>а 2</w:t>
      </w:r>
      <w:r>
        <w:rPr>
          <w:rFonts w:ascii="Times New Roman" w:hAnsi="Times New Roman"/>
          <w:sz w:val="28"/>
          <w:szCs w:val="28"/>
        </w:rPr>
        <w:t>958</w:t>
      </w:r>
      <w:r w:rsidRPr="00090EE2">
        <w:rPr>
          <w:rFonts w:ascii="Times New Roman" w:hAnsi="Times New Roman"/>
          <w:sz w:val="28"/>
          <w:szCs w:val="28"/>
        </w:rPr>
        <w:t xml:space="preserve"> человек.</w:t>
      </w:r>
    </w:p>
    <w:p w:rsidR="00EE1153" w:rsidRPr="00F9673C" w:rsidRDefault="00EE1153" w:rsidP="00EE1153">
      <w:pPr>
        <w:spacing w:after="0" w:line="240" w:lineRule="auto"/>
        <w:ind w:firstLine="708"/>
        <w:jc w:val="both"/>
        <w:rPr>
          <w:rFonts w:ascii="Times New Roman" w:hAnsi="Times New Roman"/>
          <w:b/>
          <w:sz w:val="28"/>
          <w:szCs w:val="28"/>
        </w:rPr>
      </w:pPr>
      <w:r w:rsidRPr="00090EE2">
        <w:rPr>
          <w:rFonts w:ascii="Times New Roman" w:hAnsi="Times New Roman"/>
          <w:sz w:val="28"/>
          <w:szCs w:val="28"/>
        </w:rPr>
        <w:t xml:space="preserve">Ситуация на рынке труда за последние 5 лет нестабильна. На 1 </w:t>
      </w:r>
      <w:r>
        <w:rPr>
          <w:rFonts w:ascii="Times New Roman" w:hAnsi="Times New Roman"/>
          <w:sz w:val="28"/>
          <w:szCs w:val="28"/>
        </w:rPr>
        <w:t>октября 2</w:t>
      </w:r>
      <w:r w:rsidRPr="00090EE2">
        <w:rPr>
          <w:rFonts w:ascii="Times New Roman" w:hAnsi="Times New Roman"/>
          <w:sz w:val="28"/>
          <w:szCs w:val="28"/>
        </w:rPr>
        <w:t>0</w:t>
      </w:r>
      <w:r>
        <w:rPr>
          <w:rFonts w:ascii="Times New Roman" w:hAnsi="Times New Roman"/>
          <w:sz w:val="28"/>
          <w:szCs w:val="28"/>
        </w:rPr>
        <w:t>22</w:t>
      </w:r>
      <w:r w:rsidRPr="00090EE2">
        <w:rPr>
          <w:rFonts w:ascii="Times New Roman" w:hAnsi="Times New Roman"/>
          <w:sz w:val="28"/>
          <w:szCs w:val="28"/>
        </w:rPr>
        <w:t xml:space="preserve"> года численность безработных составила</w:t>
      </w:r>
      <w:r>
        <w:rPr>
          <w:rFonts w:ascii="Times New Roman" w:hAnsi="Times New Roman"/>
          <w:sz w:val="28"/>
          <w:szCs w:val="28"/>
        </w:rPr>
        <w:t xml:space="preserve"> 57 </w:t>
      </w:r>
      <w:r w:rsidRPr="00090EE2">
        <w:rPr>
          <w:rFonts w:ascii="Times New Roman" w:hAnsi="Times New Roman"/>
          <w:sz w:val="28"/>
          <w:szCs w:val="28"/>
        </w:rPr>
        <w:t>человек</w:t>
      </w:r>
      <w:r>
        <w:rPr>
          <w:rFonts w:ascii="Times New Roman" w:hAnsi="Times New Roman"/>
          <w:sz w:val="28"/>
          <w:szCs w:val="28"/>
        </w:rPr>
        <w:t xml:space="preserve"> или 63,3% к уровню 2021 года.</w:t>
      </w:r>
      <w:r>
        <w:rPr>
          <w:rFonts w:ascii="Times New Roman" w:hAnsi="Times New Roman"/>
          <w:b/>
          <w:sz w:val="28"/>
          <w:szCs w:val="28"/>
        </w:rPr>
        <w:t xml:space="preserve"> </w:t>
      </w:r>
      <w:r w:rsidRPr="00090EE2">
        <w:rPr>
          <w:rFonts w:ascii="Times New Roman" w:hAnsi="Times New Roman"/>
          <w:sz w:val="28"/>
          <w:szCs w:val="28"/>
        </w:rPr>
        <w:t xml:space="preserve">Нагрузка незанятого населения на одну вакансию на 1 </w:t>
      </w:r>
      <w:r>
        <w:rPr>
          <w:rFonts w:ascii="Times New Roman" w:hAnsi="Times New Roman"/>
          <w:sz w:val="28"/>
          <w:szCs w:val="28"/>
        </w:rPr>
        <w:t>октября 2</w:t>
      </w:r>
      <w:r w:rsidRPr="00090EE2">
        <w:rPr>
          <w:rFonts w:ascii="Times New Roman" w:hAnsi="Times New Roman"/>
          <w:sz w:val="28"/>
          <w:szCs w:val="28"/>
        </w:rPr>
        <w:t>0</w:t>
      </w:r>
      <w:r>
        <w:rPr>
          <w:rFonts w:ascii="Times New Roman" w:hAnsi="Times New Roman"/>
          <w:sz w:val="28"/>
          <w:szCs w:val="28"/>
        </w:rPr>
        <w:t>22</w:t>
      </w:r>
      <w:r w:rsidRPr="00090EE2">
        <w:rPr>
          <w:rFonts w:ascii="Times New Roman" w:hAnsi="Times New Roman"/>
          <w:sz w:val="28"/>
          <w:szCs w:val="28"/>
        </w:rPr>
        <w:t xml:space="preserve"> г. составила </w:t>
      </w:r>
      <w:r>
        <w:rPr>
          <w:rFonts w:ascii="Times New Roman" w:hAnsi="Times New Roman"/>
          <w:sz w:val="28"/>
          <w:szCs w:val="28"/>
        </w:rPr>
        <w:t>0,5</w:t>
      </w:r>
      <w:r w:rsidRPr="00090EE2">
        <w:rPr>
          <w:rFonts w:ascii="Times New Roman" w:hAnsi="Times New Roman"/>
          <w:sz w:val="28"/>
          <w:szCs w:val="28"/>
        </w:rPr>
        <w:t xml:space="preserve"> человека.</w:t>
      </w:r>
    </w:p>
    <w:p w:rsidR="00EE1153" w:rsidRPr="00392232" w:rsidRDefault="00EE1153" w:rsidP="00EE1153">
      <w:pPr>
        <w:tabs>
          <w:tab w:val="left" w:pos="0"/>
        </w:tabs>
        <w:spacing w:after="0" w:line="240" w:lineRule="auto"/>
        <w:jc w:val="both"/>
        <w:rPr>
          <w:rFonts w:ascii="Times New Roman" w:hAnsi="Times New Roman"/>
          <w:sz w:val="28"/>
          <w:szCs w:val="28"/>
        </w:rPr>
      </w:pPr>
      <w:r>
        <w:rPr>
          <w:rFonts w:ascii="Times New Roman" w:hAnsi="Times New Roman"/>
          <w:sz w:val="28"/>
          <w:szCs w:val="28"/>
        </w:rPr>
        <w:lastRenderedPageBreak/>
        <w:tab/>
      </w:r>
      <w:r w:rsidRPr="00392232">
        <w:rPr>
          <w:rFonts w:ascii="Times New Roman" w:hAnsi="Times New Roman"/>
          <w:sz w:val="28"/>
          <w:szCs w:val="28"/>
        </w:rPr>
        <w:t>Одним из показа</w:t>
      </w:r>
      <w:r>
        <w:rPr>
          <w:rFonts w:ascii="Times New Roman" w:hAnsi="Times New Roman"/>
          <w:sz w:val="28"/>
          <w:szCs w:val="28"/>
        </w:rPr>
        <w:t>телей качества жизни населения округа</w:t>
      </w:r>
      <w:r w:rsidRPr="00392232">
        <w:rPr>
          <w:rFonts w:ascii="Times New Roman" w:hAnsi="Times New Roman"/>
          <w:sz w:val="28"/>
          <w:szCs w:val="28"/>
        </w:rPr>
        <w:t xml:space="preserve"> является уровень средней заработной платы, за период январь-октябрь 2022 года средняя заработная плата составила 40</w:t>
      </w:r>
      <w:r>
        <w:rPr>
          <w:rFonts w:ascii="Times New Roman" w:hAnsi="Times New Roman"/>
          <w:sz w:val="28"/>
          <w:szCs w:val="28"/>
        </w:rPr>
        <w:t> 005,00 рублей</w:t>
      </w:r>
      <w:r w:rsidRPr="00392232">
        <w:rPr>
          <w:rFonts w:ascii="Times New Roman" w:hAnsi="Times New Roman"/>
          <w:sz w:val="28"/>
          <w:szCs w:val="28"/>
        </w:rPr>
        <w:t xml:space="preserve"> (113% к уровню 2021 года).</w:t>
      </w:r>
    </w:p>
    <w:p w:rsidR="00EE1153" w:rsidRPr="002C684A" w:rsidRDefault="00EE1153" w:rsidP="00EE1153">
      <w:pPr>
        <w:tabs>
          <w:tab w:val="left" w:pos="0"/>
        </w:tabs>
        <w:spacing w:after="0" w:line="240" w:lineRule="auto"/>
        <w:jc w:val="both"/>
        <w:rPr>
          <w:sz w:val="28"/>
          <w:szCs w:val="28"/>
        </w:rPr>
      </w:pPr>
      <w:r w:rsidRPr="00392232">
        <w:rPr>
          <w:rFonts w:ascii="Times New Roman" w:hAnsi="Times New Roman"/>
          <w:sz w:val="28"/>
          <w:szCs w:val="28"/>
        </w:rPr>
        <w:tab/>
        <w:t>Фонд начисленной заработной платы за январь-октябрь 2022 года составил 436,2 млн. руб. это выше плановых показателей на 8,1%. Увеличение фонда заработной платы обусловлено ростом средней заработной платы в 2022 году практически по всем видам экономической деятельности</w:t>
      </w:r>
      <w:r w:rsidRPr="002C684A">
        <w:rPr>
          <w:sz w:val="28"/>
          <w:szCs w:val="28"/>
        </w:rPr>
        <w:t xml:space="preserve">. </w:t>
      </w:r>
    </w:p>
    <w:p w:rsidR="00EE1153" w:rsidRDefault="00EE1153" w:rsidP="00EE1153">
      <w:pPr>
        <w:spacing w:after="0" w:line="240" w:lineRule="auto"/>
        <w:ind w:firstLine="567"/>
        <w:jc w:val="both"/>
        <w:rPr>
          <w:rFonts w:ascii="Times New Roman" w:eastAsia="Times New Roman" w:hAnsi="Times New Roman"/>
          <w:sz w:val="28"/>
          <w:szCs w:val="28"/>
          <w:lang w:eastAsia="ru-RU"/>
        </w:rPr>
      </w:pPr>
      <w:r w:rsidRPr="00090EE2">
        <w:rPr>
          <w:rFonts w:ascii="Times New Roman" w:hAnsi="Times New Roman"/>
          <w:sz w:val="28"/>
          <w:szCs w:val="28"/>
        </w:rPr>
        <w:tab/>
      </w:r>
      <w:r w:rsidRPr="00090EE2">
        <w:rPr>
          <w:rFonts w:ascii="Times New Roman" w:eastAsia="Times New Roman" w:hAnsi="Times New Roman"/>
          <w:sz w:val="28"/>
          <w:szCs w:val="28"/>
          <w:lang w:eastAsia="ru-RU"/>
        </w:rPr>
        <w:t xml:space="preserve">Наблюдается значительный рост средней заработной платы у всех категорий работников социальной сферы. </w:t>
      </w:r>
    </w:p>
    <w:p w:rsidR="00EE1153" w:rsidRDefault="00EE1153" w:rsidP="00EE1153">
      <w:pPr>
        <w:spacing w:after="0" w:line="240" w:lineRule="auto"/>
        <w:ind w:firstLine="567"/>
        <w:jc w:val="both"/>
        <w:rPr>
          <w:rFonts w:ascii="Times New Roman" w:hAnsi="Times New Roman"/>
          <w:sz w:val="28"/>
          <w:szCs w:val="28"/>
        </w:rPr>
      </w:pPr>
      <w:r w:rsidRPr="00327FED">
        <w:rPr>
          <w:rFonts w:ascii="Times New Roman" w:hAnsi="Times New Roman"/>
          <w:sz w:val="28"/>
          <w:szCs w:val="28"/>
        </w:rPr>
        <w:t xml:space="preserve">В целях преломления негативного демографического тренда по снижению численности населения с 2019 года в области реализуются региональные проекты в рамках направлений национальных проектов «Демография» и «Здравоохранение». Региональные проекты нацелены на повышение рождаемости, снижение смертности населения, улучшение репродуктивного здоровья, повышение ожидаемой продолжительности жизни. </w:t>
      </w:r>
    </w:p>
    <w:p w:rsidR="00EE1153" w:rsidRPr="00327FED" w:rsidRDefault="00EE1153" w:rsidP="00EE1153">
      <w:pPr>
        <w:spacing w:after="0" w:line="240" w:lineRule="auto"/>
        <w:ind w:firstLine="567"/>
        <w:jc w:val="both"/>
        <w:rPr>
          <w:rFonts w:ascii="Times New Roman" w:hAnsi="Times New Roman"/>
          <w:sz w:val="28"/>
          <w:szCs w:val="28"/>
        </w:rPr>
      </w:pPr>
      <w:r>
        <w:rPr>
          <w:rFonts w:ascii="Times New Roman" w:hAnsi="Times New Roman"/>
          <w:sz w:val="28"/>
          <w:szCs w:val="28"/>
        </w:rPr>
        <w:t>Так, в 2022 году  в рамках регионального</w:t>
      </w:r>
      <w:r w:rsidRPr="00327FED">
        <w:rPr>
          <w:rFonts w:ascii="Times New Roman" w:hAnsi="Times New Roman"/>
          <w:sz w:val="28"/>
          <w:szCs w:val="28"/>
        </w:rPr>
        <w:t xml:space="preserve"> проект</w:t>
      </w:r>
      <w:r>
        <w:rPr>
          <w:rFonts w:ascii="Times New Roman" w:hAnsi="Times New Roman"/>
          <w:sz w:val="28"/>
          <w:szCs w:val="28"/>
        </w:rPr>
        <w:t>а</w:t>
      </w:r>
      <w:r w:rsidRPr="00327FED">
        <w:rPr>
          <w:rFonts w:ascii="Times New Roman" w:hAnsi="Times New Roman"/>
          <w:sz w:val="28"/>
          <w:szCs w:val="28"/>
        </w:rPr>
        <w:t xml:space="preserve"> «Финансовая поддержка семей при рождении детей»</w:t>
      </w:r>
      <w:r>
        <w:rPr>
          <w:rFonts w:ascii="Times New Roman" w:hAnsi="Times New Roman"/>
          <w:sz w:val="28"/>
          <w:szCs w:val="28"/>
        </w:rPr>
        <w:t xml:space="preserve"> 26 семьям</w:t>
      </w:r>
      <w:r w:rsidRPr="00327FED">
        <w:rPr>
          <w:rFonts w:ascii="Times New Roman" w:hAnsi="Times New Roman"/>
          <w:sz w:val="28"/>
          <w:szCs w:val="28"/>
        </w:rPr>
        <w:t xml:space="preserve"> предоставлен</w:t>
      </w:r>
      <w:r>
        <w:rPr>
          <w:rFonts w:ascii="Times New Roman" w:hAnsi="Times New Roman"/>
          <w:sz w:val="28"/>
          <w:szCs w:val="28"/>
        </w:rPr>
        <w:t>а</w:t>
      </w:r>
      <w:r w:rsidRPr="00327FED">
        <w:rPr>
          <w:rFonts w:ascii="Times New Roman" w:hAnsi="Times New Roman"/>
          <w:sz w:val="28"/>
          <w:szCs w:val="28"/>
        </w:rPr>
        <w:t xml:space="preserve"> единовременн</w:t>
      </w:r>
      <w:r>
        <w:rPr>
          <w:rFonts w:ascii="Times New Roman" w:hAnsi="Times New Roman"/>
          <w:sz w:val="28"/>
          <w:szCs w:val="28"/>
        </w:rPr>
        <w:t>ая</w:t>
      </w:r>
      <w:r w:rsidRPr="00327FED">
        <w:rPr>
          <w:rFonts w:ascii="Times New Roman" w:hAnsi="Times New Roman"/>
          <w:sz w:val="28"/>
          <w:szCs w:val="28"/>
        </w:rPr>
        <w:t xml:space="preserve"> денежн</w:t>
      </w:r>
      <w:r>
        <w:rPr>
          <w:rFonts w:ascii="Times New Roman" w:hAnsi="Times New Roman"/>
          <w:sz w:val="28"/>
          <w:szCs w:val="28"/>
        </w:rPr>
        <w:t>ая</w:t>
      </w:r>
      <w:r w:rsidRPr="00327FED">
        <w:rPr>
          <w:rFonts w:ascii="Times New Roman" w:hAnsi="Times New Roman"/>
          <w:sz w:val="28"/>
          <w:szCs w:val="28"/>
        </w:rPr>
        <w:t xml:space="preserve"> выплат</w:t>
      </w:r>
      <w:r>
        <w:rPr>
          <w:rFonts w:ascii="Times New Roman" w:hAnsi="Times New Roman"/>
          <w:sz w:val="28"/>
          <w:szCs w:val="28"/>
        </w:rPr>
        <w:t>а</w:t>
      </w:r>
      <w:r w:rsidRPr="00327FED">
        <w:rPr>
          <w:rFonts w:ascii="Times New Roman" w:hAnsi="Times New Roman"/>
          <w:sz w:val="28"/>
          <w:szCs w:val="28"/>
        </w:rPr>
        <w:t xml:space="preserve"> взамен  предоставления земельного участка гражданам, имеющим трех и более детей.</w:t>
      </w:r>
      <w:r>
        <w:rPr>
          <w:rFonts w:ascii="Times New Roman" w:hAnsi="Times New Roman"/>
          <w:sz w:val="28"/>
          <w:szCs w:val="28"/>
        </w:rPr>
        <w:t xml:space="preserve"> Объем финансирования</w:t>
      </w:r>
      <w:r w:rsidRPr="00327FED">
        <w:rPr>
          <w:rFonts w:ascii="Times New Roman" w:hAnsi="Times New Roman"/>
          <w:sz w:val="28"/>
          <w:szCs w:val="28"/>
        </w:rPr>
        <w:t xml:space="preserve"> </w:t>
      </w:r>
      <w:r>
        <w:rPr>
          <w:rFonts w:ascii="Times New Roman" w:hAnsi="Times New Roman"/>
          <w:sz w:val="28"/>
          <w:szCs w:val="28"/>
        </w:rPr>
        <w:t xml:space="preserve">составил </w:t>
      </w:r>
      <w:r w:rsidRPr="00327FED">
        <w:rPr>
          <w:rFonts w:ascii="Times New Roman" w:hAnsi="Times New Roman"/>
          <w:sz w:val="28"/>
          <w:szCs w:val="28"/>
        </w:rPr>
        <w:t>5</w:t>
      </w:r>
      <w:r>
        <w:rPr>
          <w:rFonts w:ascii="Times New Roman" w:hAnsi="Times New Roman"/>
          <w:sz w:val="28"/>
          <w:szCs w:val="28"/>
        </w:rPr>
        <w:t> </w:t>
      </w:r>
      <w:r w:rsidRPr="00327FED">
        <w:rPr>
          <w:rFonts w:ascii="Times New Roman" w:hAnsi="Times New Roman"/>
          <w:sz w:val="28"/>
          <w:szCs w:val="28"/>
        </w:rPr>
        <w:t>486</w:t>
      </w:r>
      <w:r>
        <w:rPr>
          <w:rFonts w:ascii="Times New Roman" w:hAnsi="Times New Roman"/>
          <w:sz w:val="28"/>
          <w:szCs w:val="28"/>
        </w:rPr>
        <w:t>,</w:t>
      </w:r>
      <w:r w:rsidRPr="00327FED">
        <w:rPr>
          <w:rFonts w:ascii="Times New Roman" w:hAnsi="Times New Roman"/>
          <w:sz w:val="28"/>
          <w:szCs w:val="28"/>
        </w:rPr>
        <w:t> 39</w:t>
      </w:r>
      <w:r>
        <w:rPr>
          <w:rFonts w:ascii="Times New Roman" w:hAnsi="Times New Roman"/>
          <w:sz w:val="28"/>
          <w:szCs w:val="28"/>
        </w:rPr>
        <w:t xml:space="preserve"> тыс.</w:t>
      </w:r>
      <w:r w:rsidRPr="00327FED">
        <w:rPr>
          <w:rFonts w:ascii="Times New Roman" w:hAnsi="Times New Roman"/>
          <w:sz w:val="28"/>
          <w:szCs w:val="28"/>
        </w:rPr>
        <w:t xml:space="preserve"> рублей.</w:t>
      </w:r>
    </w:p>
    <w:p w:rsidR="00EE1153" w:rsidRDefault="00EE1153" w:rsidP="00EE1153">
      <w:pPr>
        <w:spacing w:after="0" w:line="240" w:lineRule="auto"/>
        <w:ind w:firstLine="708"/>
        <w:jc w:val="both"/>
        <w:rPr>
          <w:rFonts w:ascii="Times New Roman" w:hAnsi="Times New Roman"/>
          <w:sz w:val="28"/>
          <w:szCs w:val="28"/>
        </w:rPr>
      </w:pPr>
      <w:r w:rsidRPr="00090EE2">
        <w:rPr>
          <w:rFonts w:ascii="Times New Roman" w:hAnsi="Times New Roman"/>
          <w:b/>
          <w:sz w:val="28"/>
          <w:szCs w:val="28"/>
        </w:rPr>
        <w:t xml:space="preserve">Основным направлением деятельности администрации </w:t>
      </w:r>
      <w:r>
        <w:rPr>
          <w:rFonts w:ascii="Times New Roman" w:hAnsi="Times New Roman"/>
          <w:b/>
          <w:sz w:val="28"/>
          <w:szCs w:val="28"/>
        </w:rPr>
        <w:t>округ</w:t>
      </w:r>
      <w:r w:rsidRPr="00090EE2">
        <w:rPr>
          <w:rFonts w:ascii="Times New Roman" w:hAnsi="Times New Roman"/>
          <w:b/>
          <w:sz w:val="28"/>
          <w:szCs w:val="28"/>
        </w:rPr>
        <w:t xml:space="preserve">а в улучшении социально-демографической ситуации является: </w:t>
      </w:r>
      <w:r w:rsidRPr="00BF62D1">
        <w:rPr>
          <w:rFonts w:ascii="Times New Roman" w:hAnsi="Times New Roman"/>
          <w:sz w:val="28"/>
          <w:szCs w:val="28"/>
        </w:rPr>
        <w:t>развитие рынка труда и обеспечение занятости населения, формирование современной комфортной среды проживания.</w:t>
      </w:r>
    </w:p>
    <w:p w:rsidR="00726CE6" w:rsidRPr="00090EE2" w:rsidRDefault="00726CE6" w:rsidP="00726CE6">
      <w:pPr>
        <w:pStyle w:val="1"/>
        <w:spacing w:before="0" w:line="240" w:lineRule="auto"/>
        <w:rPr>
          <w:rFonts w:ascii="Times New Roman" w:hAnsi="Times New Roman"/>
          <w:color w:val="auto"/>
        </w:rPr>
      </w:pPr>
      <w:bookmarkStart w:id="2" w:name="_Toc440378722"/>
      <w:r w:rsidRPr="00090EE2">
        <w:rPr>
          <w:rFonts w:ascii="Times New Roman" w:hAnsi="Times New Roman"/>
          <w:color w:val="auto"/>
        </w:rPr>
        <w:t>Экономический потенциал</w:t>
      </w:r>
      <w:bookmarkEnd w:id="2"/>
    </w:p>
    <w:p w:rsidR="00D828E4" w:rsidRPr="00392232" w:rsidRDefault="00D828E4" w:rsidP="00D828E4">
      <w:pPr>
        <w:spacing w:after="0" w:line="240" w:lineRule="auto"/>
        <w:ind w:firstLine="720"/>
        <w:jc w:val="both"/>
        <w:rPr>
          <w:rFonts w:ascii="Times New Roman" w:hAnsi="Times New Roman"/>
          <w:sz w:val="28"/>
          <w:szCs w:val="28"/>
        </w:rPr>
      </w:pPr>
      <w:bookmarkStart w:id="3" w:name="_Toc440378723"/>
      <w:r w:rsidRPr="00287BD1">
        <w:rPr>
          <w:rFonts w:ascii="Times New Roman" w:hAnsi="Times New Roman"/>
          <w:sz w:val="28"/>
          <w:szCs w:val="28"/>
        </w:rPr>
        <w:t xml:space="preserve">По состоянию на </w:t>
      </w:r>
      <w:r>
        <w:rPr>
          <w:rFonts w:ascii="Times New Roman" w:hAnsi="Times New Roman"/>
          <w:sz w:val="28"/>
          <w:szCs w:val="28"/>
        </w:rPr>
        <w:t xml:space="preserve">1 октября </w:t>
      </w:r>
      <w:r w:rsidRPr="00287BD1">
        <w:rPr>
          <w:rFonts w:ascii="Times New Roman" w:hAnsi="Times New Roman"/>
          <w:sz w:val="28"/>
          <w:szCs w:val="28"/>
        </w:rPr>
        <w:t xml:space="preserve">2022 года </w:t>
      </w:r>
      <w:r>
        <w:rPr>
          <w:rFonts w:ascii="Times New Roman" w:hAnsi="Times New Roman"/>
          <w:sz w:val="28"/>
          <w:szCs w:val="28"/>
        </w:rPr>
        <w:t>в округе</w:t>
      </w:r>
      <w:r w:rsidRPr="00287BD1">
        <w:rPr>
          <w:rFonts w:ascii="Times New Roman" w:hAnsi="Times New Roman"/>
          <w:sz w:val="28"/>
          <w:szCs w:val="28"/>
        </w:rPr>
        <w:t xml:space="preserve"> </w:t>
      </w:r>
      <w:r>
        <w:rPr>
          <w:rFonts w:ascii="Times New Roman" w:hAnsi="Times New Roman"/>
          <w:sz w:val="28"/>
          <w:szCs w:val="28"/>
        </w:rPr>
        <w:t>зарегистрировано 117 предприятий</w:t>
      </w:r>
      <w:r w:rsidRPr="00287BD1">
        <w:rPr>
          <w:rFonts w:ascii="Times New Roman" w:hAnsi="Times New Roman"/>
          <w:sz w:val="28"/>
          <w:szCs w:val="28"/>
        </w:rPr>
        <w:t xml:space="preserve"> различной формы собственности</w:t>
      </w:r>
      <w:r>
        <w:rPr>
          <w:rFonts w:ascii="Times New Roman" w:hAnsi="Times New Roman"/>
          <w:sz w:val="28"/>
          <w:szCs w:val="28"/>
        </w:rPr>
        <w:t xml:space="preserve"> (95,9% к уровню советующего периода 2021 года)</w:t>
      </w:r>
      <w:r w:rsidRPr="00392232">
        <w:rPr>
          <w:rFonts w:ascii="Times New Roman" w:hAnsi="Times New Roman"/>
          <w:sz w:val="28"/>
          <w:szCs w:val="28"/>
        </w:rPr>
        <w:t xml:space="preserve"> и согласно данным Единого реестра субъектов малого и среднего предпринимательства, 315 индивидуальных предпринимателя без образования юридического лица</w:t>
      </w:r>
      <w:r>
        <w:rPr>
          <w:rFonts w:ascii="Times New Roman" w:hAnsi="Times New Roman"/>
          <w:sz w:val="28"/>
          <w:szCs w:val="28"/>
        </w:rPr>
        <w:t xml:space="preserve"> (104,2% к уровню советующего периода 2021 года)</w:t>
      </w:r>
      <w:r w:rsidRPr="00392232">
        <w:rPr>
          <w:rFonts w:ascii="Times New Roman" w:hAnsi="Times New Roman"/>
          <w:sz w:val="28"/>
          <w:szCs w:val="28"/>
        </w:rPr>
        <w:t>.</w:t>
      </w:r>
    </w:p>
    <w:p w:rsidR="00D828E4" w:rsidRPr="00287BD1" w:rsidRDefault="00D828E4" w:rsidP="00D828E4">
      <w:pPr>
        <w:spacing w:after="0" w:line="240" w:lineRule="auto"/>
        <w:ind w:firstLine="720"/>
        <w:jc w:val="both"/>
        <w:rPr>
          <w:rFonts w:ascii="Times New Roman" w:hAnsi="Times New Roman"/>
          <w:bCs/>
          <w:sz w:val="28"/>
          <w:szCs w:val="28"/>
        </w:rPr>
      </w:pPr>
      <w:r w:rsidRPr="00287BD1">
        <w:rPr>
          <w:rFonts w:ascii="Times New Roman" w:hAnsi="Times New Roman"/>
          <w:bCs/>
          <w:sz w:val="28"/>
          <w:szCs w:val="28"/>
        </w:rPr>
        <w:t xml:space="preserve">Основными </w:t>
      </w:r>
      <w:proofErr w:type="spellStart"/>
      <w:r w:rsidRPr="00287BD1">
        <w:rPr>
          <w:rFonts w:ascii="Times New Roman" w:hAnsi="Times New Roman"/>
          <w:bCs/>
          <w:sz w:val="28"/>
          <w:szCs w:val="28"/>
        </w:rPr>
        <w:t>бюджетообразующими</w:t>
      </w:r>
      <w:proofErr w:type="spellEnd"/>
      <w:r w:rsidRPr="00287BD1">
        <w:rPr>
          <w:rFonts w:ascii="Times New Roman" w:hAnsi="Times New Roman"/>
          <w:bCs/>
          <w:sz w:val="28"/>
          <w:szCs w:val="28"/>
        </w:rPr>
        <w:t xml:space="preserve"> предприятиями являются Бабушкинское </w:t>
      </w:r>
      <w:r w:rsidRPr="00287BD1">
        <w:rPr>
          <w:rFonts w:ascii="Times New Roman" w:hAnsi="Times New Roman"/>
          <w:sz w:val="28"/>
          <w:szCs w:val="28"/>
        </w:rPr>
        <w:t>ДРСУ ПАО «</w:t>
      </w:r>
      <w:proofErr w:type="spellStart"/>
      <w:r w:rsidRPr="00287BD1">
        <w:rPr>
          <w:rFonts w:ascii="Times New Roman" w:hAnsi="Times New Roman"/>
          <w:sz w:val="28"/>
          <w:szCs w:val="28"/>
        </w:rPr>
        <w:t>Вологодавтодор</w:t>
      </w:r>
      <w:proofErr w:type="spellEnd"/>
      <w:r w:rsidRPr="00287BD1">
        <w:rPr>
          <w:rFonts w:ascii="Times New Roman" w:hAnsi="Times New Roman"/>
          <w:sz w:val="28"/>
          <w:szCs w:val="28"/>
        </w:rPr>
        <w:t>»,</w:t>
      </w:r>
      <w:r w:rsidRPr="00287BD1">
        <w:rPr>
          <w:rFonts w:ascii="Times New Roman" w:hAnsi="Times New Roman"/>
          <w:bCs/>
          <w:sz w:val="28"/>
          <w:szCs w:val="28"/>
        </w:rPr>
        <w:t xml:space="preserve"> Бабушкинский лесхоз – филиал САУ ВО «</w:t>
      </w:r>
      <w:proofErr w:type="spellStart"/>
      <w:r w:rsidRPr="00287BD1">
        <w:rPr>
          <w:rFonts w:ascii="Times New Roman" w:hAnsi="Times New Roman"/>
          <w:bCs/>
          <w:sz w:val="28"/>
          <w:szCs w:val="28"/>
        </w:rPr>
        <w:t>Вологдалесхоз</w:t>
      </w:r>
      <w:proofErr w:type="spellEnd"/>
      <w:r w:rsidRPr="00287BD1">
        <w:rPr>
          <w:rFonts w:ascii="Times New Roman" w:hAnsi="Times New Roman"/>
          <w:bCs/>
          <w:sz w:val="28"/>
          <w:szCs w:val="28"/>
        </w:rPr>
        <w:t xml:space="preserve">», </w:t>
      </w:r>
      <w:r w:rsidRPr="00BF62D1">
        <w:rPr>
          <w:rFonts w:ascii="Times New Roman" w:hAnsi="Times New Roman"/>
          <w:bCs/>
          <w:sz w:val="28"/>
          <w:szCs w:val="28"/>
        </w:rPr>
        <w:t xml:space="preserve">АО «Санаторий </w:t>
      </w:r>
      <w:proofErr w:type="spellStart"/>
      <w:r w:rsidRPr="00BF62D1">
        <w:rPr>
          <w:rFonts w:ascii="Times New Roman" w:hAnsi="Times New Roman"/>
          <w:bCs/>
          <w:sz w:val="28"/>
          <w:szCs w:val="28"/>
        </w:rPr>
        <w:t>Леденгск</w:t>
      </w:r>
      <w:proofErr w:type="spellEnd"/>
      <w:r w:rsidRPr="00BF62D1">
        <w:rPr>
          <w:rFonts w:ascii="Times New Roman" w:hAnsi="Times New Roman"/>
          <w:bCs/>
          <w:sz w:val="28"/>
          <w:szCs w:val="28"/>
        </w:rPr>
        <w:t>»,</w:t>
      </w:r>
      <w:r w:rsidRPr="00287BD1">
        <w:rPr>
          <w:rFonts w:ascii="Times New Roman" w:hAnsi="Times New Roman"/>
          <w:bCs/>
          <w:sz w:val="28"/>
          <w:szCs w:val="28"/>
        </w:rPr>
        <w:t xml:space="preserve"> ПК «Бабушкинский» ООО «Бабушкинский союз предпринимателей», АО « Лесопромышленный концерн Кипелово», ООО «</w:t>
      </w:r>
      <w:proofErr w:type="spellStart"/>
      <w:r w:rsidRPr="00287BD1">
        <w:rPr>
          <w:rFonts w:ascii="Times New Roman" w:hAnsi="Times New Roman"/>
          <w:bCs/>
          <w:sz w:val="28"/>
          <w:szCs w:val="28"/>
        </w:rPr>
        <w:t>ИдаЛеспром</w:t>
      </w:r>
      <w:proofErr w:type="spellEnd"/>
      <w:r w:rsidRPr="00287BD1">
        <w:rPr>
          <w:rFonts w:ascii="Times New Roman" w:hAnsi="Times New Roman"/>
          <w:bCs/>
          <w:sz w:val="28"/>
          <w:szCs w:val="28"/>
        </w:rPr>
        <w:t xml:space="preserve">», ООО «Альтернатива», МУП «Бабушкинская теплосеть», ООО «Агроторг»,  ЗАО «Тандер», АЗС «Лукойл»,  обособленные подразделения станций Юза и </w:t>
      </w:r>
      <w:proofErr w:type="spellStart"/>
      <w:r w:rsidRPr="00287BD1">
        <w:rPr>
          <w:rFonts w:ascii="Times New Roman" w:hAnsi="Times New Roman"/>
          <w:bCs/>
          <w:sz w:val="28"/>
          <w:szCs w:val="28"/>
        </w:rPr>
        <w:t>Кунож</w:t>
      </w:r>
      <w:proofErr w:type="spellEnd"/>
      <w:r w:rsidRPr="00287BD1">
        <w:rPr>
          <w:rFonts w:ascii="Times New Roman" w:hAnsi="Times New Roman"/>
          <w:bCs/>
          <w:sz w:val="28"/>
          <w:szCs w:val="28"/>
        </w:rPr>
        <w:t xml:space="preserve">. ООО «ФХ «Липин Бор». Их вклад в бюджет </w:t>
      </w:r>
      <w:r>
        <w:rPr>
          <w:rFonts w:ascii="Times New Roman" w:hAnsi="Times New Roman"/>
          <w:bCs/>
          <w:sz w:val="28"/>
          <w:szCs w:val="28"/>
        </w:rPr>
        <w:t>округа</w:t>
      </w:r>
      <w:r w:rsidRPr="00287BD1">
        <w:rPr>
          <w:rFonts w:ascii="Times New Roman" w:hAnsi="Times New Roman"/>
          <w:bCs/>
          <w:sz w:val="28"/>
          <w:szCs w:val="28"/>
        </w:rPr>
        <w:t xml:space="preserve"> состав</w:t>
      </w:r>
      <w:r>
        <w:rPr>
          <w:rFonts w:ascii="Times New Roman" w:hAnsi="Times New Roman"/>
          <w:bCs/>
          <w:sz w:val="28"/>
          <w:szCs w:val="28"/>
        </w:rPr>
        <w:t>ил</w:t>
      </w:r>
      <w:r w:rsidRPr="00287BD1">
        <w:rPr>
          <w:rFonts w:ascii="Times New Roman" w:hAnsi="Times New Roman"/>
          <w:bCs/>
          <w:sz w:val="28"/>
          <w:szCs w:val="28"/>
        </w:rPr>
        <w:t xml:space="preserve"> 29</w:t>
      </w:r>
      <w:r>
        <w:rPr>
          <w:rFonts w:ascii="Times New Roman" w:hAnsi="Times New Roman"/>
          <w:bCs/>
          <w:sz w:val="28"/>
          <w:szCs w:val="28"/>
        </w:rPr>
        <w:t xml:space="preserve"> </w:t>
      </w:r>
      <w:r w:rsidRPr="00287BD1">
        <w:rPr>
          <w:rFonts w:ascii="Times New Roman" w:hAnsi="Times New Roman"/>
          <w:bCs/>
          <w:sz w:val="28"/>
          <w:szCs w:val="28"/>
        </w:rPr>
        <w:t>288,5 тыс. руб. (налог на доходы физических лиц).</w:t>
      </w:r>
    </w:p>
    <w:p w:rsidR="00D828E4" w:rsidRPr="00287BD1" w:rsidRDefault="00D828E4" w:rsidP="00D828E4">
      <w:pPr>
        <w:autoSpaceDE w:val="0"/>
        <w:autoSpaceDN w:val="0"/>
        <w:adjustRightInd w:val="0"/>
        <w:spacing w:after="0" w:line="240" w:lineRule="auto"/>
        <w:ind w:firstLine="542"/>
        <w:jc w:val="both"/>
        <w:rPr>
          <w:rFonts w:ascii="Times New Roman" w:hAnsi="Times New Roman"/>
          <w:sz w:val="28"/>
          <w:szCs w:val="28"/>
        </w:rPr>
      </w:pPr>
      <w:r w:rsidRPr="00287BD1">
        <w:rPr>
          <w:rFonts w:ascii="Times New Roman" w:hAnsi="Times New Roman"/>
          <w:sz w:val="28"/>
          <w:szCs w:val="28"/>
        </w:rPr>
        <w:t>Основными отраслями промышленности являются: лесозаготовительная, деревообрабатывающая, пищевая, энергетическая.</w:t>
      </w:r>
    </w:p>
    <w:p w:rsidR="00D828E4" w:rsidRPr="00287BD1" w:rsidRDefault="00D828E4" w:rsidP="00D828E4">
      <w:pPr>
        <w:autoSpaceDE w:val="0"/>
        <w:autoSpaceDN w:val="0"/>
        <w:adjustRightInd w:val="0"/>
        <w:spacing w:after="0" w:line="240" w:lineRule="auto"/>
        <w:ind w:firstLine="542"/>
        <w:jc w:val="both"/>
        <w:rPr>
          <w:rFonts w:ascii="Times New Roman" w:hAnsi="Times New Roman"/>
          <w:color w:val="000000"/>
          <w:sz w:val="28"/>
          <w:szCs w:val="28"/>
        </w:rPr>
      </w:pPr>
      <w:r w:rsidRPr="00287BD1">
        <w:rPr>
          <w:rFonts w:ascii="Times New Roman" w:hAnsi="Times New Roman"/>
          <w:sz w:val="28"/>
          <w:szCs w:val="28"/>
        </w:rPr>
        <w:t xml:space="preserve">Одним из показателей развития </w:t>
      </w:r>
      <w:r>
        <w:rPr>
          <w:rFonts w:ascii="Times New Roman" w:hAnsi="Times New Roman"/>
          <w:sz w:val="28"/>
          <w:szCs w:val="28"/>
        </w:rPr>
        <w:t xml:space="preserve">округа </w:t>
      </w:r>
      <w:r w:rsidRPr="00287BD1">
        <w:rPr>
          <w:rFonts w:ascii="Times New Roman" w:hAnsi="Times New Roman"/>
          <w:sz w:val="28"/>
          <w:szCs w:val="28"/>
        </w:rPr>
        <w:t xml:space="preserve">является показатель </w:t>
      </w:r>
      <w:r>
        <w:rPr>
          <w:rFonts w:ascii="Times New Roman" w:hAnsi="Times New Roman"/>
          <w:sz w:val="28"/>
          <w:szCs w:val="28"/>
        </w:rPr>
        <w:t>«О</w:t>
      </w:r>
      <w:r w:rsidRPr="00287BD1">
        <w:rPr>
          <w:rFonts w:ascii="Times New Roman" w:hAnsi="Times New Roman"/>
          <w:sz w:val="28"/>
          <w:szCs w:val="28"/>
        </w:rPr>
        <w:t>бъём отгруженных товаров собственного производства</w:t>
      </w:r>
      <w:r>
        <w:rPr>
          <w:rFonts w:ascii="Times New Roman" w:hAnsi="Times New Roman"/>
          <w:sz w:val="28"/>
          <w:szCs w:val="28"/>
        </w:rPr>
        <w:t>»</w:t>
      </w:r>
      <w:r w:rsidRPr="00287BD1">
        <w:rPr>
          <w:rFonts w:ascii="Times New Roman" w:hAnsi="Times New Roman"/>
          <w:sz w:val="28"/>
          <w:szCs w:val="28"/>
        </w:rPr>
        <w:t>.</w:t>
      </w:r>
      <w:r w:rsidR="00EA0E85">
        <w:rPr>
          <w:rFonts w:ascii="Times New Roman" w:hAnsi="Times New Roman"/>
          <w:sz w:val="28"/>
          <w:szCs w:val="28"/>
        </w:rPr>
        <w:t xml:space="preserve"> </w:t>
      </w:r>
      <w:proofErr w:type="gramStart"/>
      <w:r w:rsidRPr="00287BD1">
        <w:rPr>
          <w:rFonts w:ascii="Times New Roman" w:hAnsi="Times New Roman"/>
          <w:sz w:val="28"/>
          <w:szCs w:val="28"/>
        </w:rPr>
        <w:t>Так</w:t>
      </w:r>
      <w:proofErr w:type="gramEnd"/>
      <w:r>
        <w:rPr>
          <w:rFonts w:ascii="Times New Roman" w:hAnsi="Times New Roman"/>
          <w:sz w:val="28"/>
          <w:szCs w:val="28"/>
        </w:rPr>
        <w:t xml:space="preserve">, </w:t>
      </w:r>
      <w:r w:rsidRPr="00287BD1">
        <w:rPr>
          <w:rFonts w:ascii="Times New Roman" w:hAnsi="Times New Roman"/>
          <w:sz w:val="28"/>
          <w:szCs w:val="28"/>
        </w:rPr>
        <w:t xml:space="preserve">оборот организаций за 8 месяцев 2022 год составил 686,7 млн. руб., что выше уровня прошлого года 37,9% и плановых значений на 37,8%. </w:t>
      </w:r>
    </w:p>
    <w:p w:rsidR="00D828E4" w:rsidRDefault="00D828E4" w:rsidP="00D828E4">
      <w:pPr>
        <w:spacing w:after="0" w:line="240" w:lineRule="auto"/>
        <w:ind w:firstLine="75"/>
        <w:jc w:val="both"/>
        <w:rPr>
          <w:rFonts w:ascii="Times New Roman" w:hAnsi="Times New Roman"/>
          <w:sz w:val="28"/>
          <w:szCs w:val="28"/>
        </w:rPr>
      </w:pPr>
      <w:r w:rsidRPr="00287BD1">
        <w:rPr>
          <w:rFonts w:ascii="Times New Roman" w:hAnsi="Times New Roman"/>
          <w:sz w:val="28"/>
          <w:szCs w:val="28"/>
        </w:rPr>
        <w:t>За 7 месяцев 2022 года заготовлено 171,7 тыс. плотных куб. м. древесины (выше аналогичного периода 2021 года на 49,7% по кругу обследуемых респондентов малые предприятия и индивидуальные предприниматели с численностью работающих более 15 человек).</w:t>
      </w:r>
    </w:p>
    <w:p w:rsidR="00D828E4" w:rsidRDefault="00D828E4" w:rsidP="00D828E4">
      <w:pPr>
        <w:spacing w:after="0" w:line="240" w:lineRule="auto"/>
        <w:ind w:firstLine="708"/>
        <w:jc w:val="both"/>
        <w:rPr>
          <w:sz w:val="28"/>
          <w:szCs w:val="28"/>
        </w:rPr>
      </w:pPr>
      <w:r w:rsidRPr="00287BD1">
        <w:rPr>
          <w:rFonts w:ascii="Times New Roman" w:hAnsi="Times New Roman"/>
          <w:sz w:val="28"/>
          <w:szCs w:val="28"/>
        </w:rPr>
        <w:lastRenderedPageBreak/>
        <w:t xml:space="preserve"> Производство пиломатериалов составило 8,1 тыс. куб. м., к уровню 2021 года – 53,3 %. По прогнозным данным объем произведенных пиломатериалов за 2022 год не превысит 11.2 тыс. куб. м. в связи со сложной ситуацией на рынке реализации продукции лесного комплекса. В связи с </w:t>
      </w:r>
      <w:proofErr w:type="spellStart"/>
      <w:r w:rsidRPr="00287BD1">
        <w:rPr>
          <w:rFonts w:ascii="Times New Roman" w:hAnsi="Times New Roman"/>
          <w:sz w:val="28"/>
          <w:szCs w:val="28"/>
        </w:rPr>
        <w:t>санкционным</w:t>
      </w:r>
      <w:proofErr w:type="spellEnd"/>
      <w:r w:rsidRPr="00287BD1">
        <w:rPr>
          <w:rFonts w:ascii="Times New Roman" w:hAnsi="Times New Roman"/>
          <w:sz w:val="28"/>
          <w:szCs w:val="28"/>
        </w:rPr>
        <w:t xml:space="preserve"> давлением со стороны «недружественных» стран основные рынки сбыта продукции для производителей лесного комплекса были закрыты. В настоящее время идет переориентация реализации за рынки Азии.  </w:t>
      </w:r>
      <w:r w:rsidRPr="00287BD1">
        <w:rPr>
          <w:rFonts w:ascii="Times New Roman" w:hAnsi="Times New Roman"/>
          <w:sz w:val="28"/>
          <w:szCs w:val="28"/>
        </w:rPr>
        <w:tab/>
        <w:t>Основные направления</w:t>
      </w:r>
      <w:r>
        <w:rPr>
          <w:rFonts w:ascii="Times New Roman" w:hAnsi="Times New Roman"/>
          <w:sz w:val="28"/>
          <w:szCs w:val="28"/>
        </w:rPr>
        <w:t xml:space="preserve"> деятельности хозяйствующих субъектов района производство пищевых продуктов,</w:t>
      </w:r>
      <w:r w:rsidRPr="00287BD1">
        <w:rPr>
          <w:rFonts w:ascii="Times New Roman" w:hAnsi="Times New Roman"/>
          <w:sz w:val="28"/>
          <w:szCs w:val="28"/>
        </w:rPr>
        <w:t xml:space="preserve"> производство молочной продукции, кондитерских изделий, хлеба и хлебобулочных изделий</w:t>
      </w:r>
      <w:r w:rsidRPr="00287BD1">
        <w:rPr>
          <w:sz w:val="28"/>
          <w:szCs w:val="28"/>
        </w:rPr>
        <w:t xml:space="preserve">. </w:t>
      </w:r>
    </w:p>
    <w:p w:rsidR="00726CE6" w:rsidRPr="00090EE2" w:rsidRDefault="00726CE6" w:rsidP="00726CE6">
      <w:pPr>
        <w:pStyle w:val="1"/>
        <w:spacing w:before="0" w:line="240" w:lineRule="auto"/>
        <w:rPr>
          <w:rFonts w:ascii="Times New Roman" w:hAnsi="Times New Roman"/>
          <w:color w:val="auto"/>
        </w:rPr>
      </w:pPr>
      <w:r w:rsidRPr="00090EE2">
        <w:rPr>
          <w:rFonts w:ascii="Times New Roman" w:hAnsi="Times New Roman"/>
          <w:color w:val="auto"/>
        </w:rPr>
        <w:t>Сельское хозяйство</w:t>
      </w:r>
      <w:bookmarkEnd w:id="3"/>
    </w:p>
    <w:p w:rsidR="00A47517" w:rsidRPr="00287BD1" w:rsidRDefault="00A47517" w:rsidP="00A47517">
      <w:pPr>
        <w:shd w:val="clear" w:color="auto" w:fill="FFFFFF"/>
        <w:spacing w:after="0" w:line="240" w:lineRule="auto"/>
        <w:ind w:firstLine="709"/>
        <w:jc w:val="both"/>
        <w:rPr>
          <w:rFonts w:ascii="Times New Roman" w:hAnsi="Times New Roman"/>
          <w:color w:val="000000"/>
          <w:sz w:val="28"/>
          <w:szCs w:val="28"/>
        </w:rPr>
      </w:pPr>
      <w:bookmarkStart w:id="4" w:name="_Toc440378724"/>
      <w:r w:rsidRPr="00287BD1">
        <w:rPr>
          <w:rFonts w:ascii="Times New Roman" w:hAnsi="Times New Roman"/>
          <w:color w:val="000000"/>
          <w:sz w:val="28"/>
          <w:szCs w:val="28"/>
        </w:rPr>
        <w:t xml:space="preserve">Производство сельхозпродукции </w:t>
      </w:r>
      <w:r>
        <w:rPr>
          <w:rFonts w:ascii="Times New Roman" w:hAnsi="Times New Roman"/>
          <w:color w:val="000000"/>
          <w:sz w:val="28"/>
          <w:szCs w:val="28"/>
        </w:rPr>
        <w:t xml:space="preserve">в округе </w:t>
      </w:r>
      <w:r w:rsidRPr="00287BD1">
        <w:rPr>
          <w:rFonts w:ascii="Times New Roman" w:hAnsi="Times New Roman"/>
          <w:color w:val="000000"/>
          <w:sz w:val="28"/>
          <w:szCs w:val="28"/>
        </w:rPr>
        <w:t>осу</w:t>
      </w:r>
      <w:r>
        <w:rPr>
          <w:rFonts w:ascii="Times New Roman" w:hAnsi="Times New Roman"/>
          <w:color w:val="000000"/>
          <w:sz w:val="28"/>
          <w:szCs w:val="28"/>
        </w:rPr>
        <w:t>ществляют 1 сельскохозяйственное</w:t>
      </w:r>
      <w:r w:rsidRPr="00287BD1">
        <w:rPr>
          <w:rFonts w:ascii="Times New Roman" w:hAnsi="Times New Roman"/>
          <w:color w:val="000000"/>
          <w:sz w:val="28"/>
          <w:szCs w:val="28"/>
        </w:rPr>
        <w:t xml:space="preserve"> предприяти</w:t>
      </w:r>
      <w:r>
        <w:rPr>
          <w:rFonts w:ascii="Times New Roman" w:hAnsi="Times New Roman"/>
          <w:color w:val="000000"/>
          <w:sz w:val="28"/>
          <w:szCs w:val="28"/>
        </w:rPr>
        <w:t>е</w:t>
      </w:r>
      <w:r w:rsidRPr="00287BD1">
        <w:rPr>
          <w:rFonts w:ascii="Times New Roman" w:hAnsi="Times New Roman"/>
          <w:color w:val="000000"/>
          <w:sz w:val="28"/>
          <w:szCs w:val="28"/>
        </w:rPr>
        <w:t>, 2 крестьянских (фермерских) хозяйств и свыше 4 тысяч личных подсобных хозяйств.</w:t>
      </w:r>
    </w:p>
    <w:p w:rsidR="00A47517" w:rsidRPr="00287BD1" w:rsidRDefault="00A47517" w:rsidP="00A47517">
      <w:pPr>
        <w:shd w:val="clear" w:color="auto" w:fill="FFFFFF"/>
        <w:spacing w:after="0" w:line="240" w:lineRule="auto"/>
        <w:ind w:firstLine="709"/>
        <w:jc w:val="both"/>
        <w:rPr>
          <w:rFonts w:ascii="Times New Roman" w:hAnsi="Times New Roman"/>
          <w:color w:val="000000"/>
          <w:sz w:val="28"/>
          <w:szCs w:val="28"/>
        </w:rPr>
      </w:pPr>
      <w:r w:rsidRPr="00287BD1">
        <w:rPr>
          <w:rFonts w:ascii="Times New Roman" w:hAnsi="Times New Roman"/>
          <w:color w:val="000000"/>
          <w:sz w:val="28"/>
          <w:szCs w:val="28"/>
        </w:rPr>
        <w:t xml:space="preserve">На 01 октября 2022 года поголовье крупного рогатого скота в хозяйствах составило 78 голов (73,6 % к уровню прошлого года), в том числе коров - 49 голов (41 % к уровню прошлого года). Поголовье свиней в крестьянских (фермерских) хозяйствах 2 головы (6 % к уровню прошлого года). Поголовье КРС за последние 3 года снизилось на 173 головы, в том числе коров – на 58 голов. Поголовье свиней снизилось с 2019 года на 43 головы, это связано с прекращением сельскохозяйственной деятельности крестьянского (фермерского) хозяйства </w:t>
      </w:r>
      <w:proofErr w:type="spellStart"/>
      <w:r w:rsidRPr="00287BD1">
        <w:rPr>
          <w:rFonts w:ascii="Times New Roman" w:hAnsi="Times New Roman"/>
          <w:color w:val="000000"/>
          <w:sz w:val="28"/>
          <w:szCs w:val="28"/>
        </w:rPr>
        <w:t>Белошеева</w:t>
      </w:r>
      <w:proofErr w:type="spellEnd"/>
      <w:r w:rsidRPr="00287BD1">
        <w:rPr>
          <w:rFonts w:ascii="Times New Roman" w:hAnsi="Times New Roman"/>
          <w:color w:val="000000"/>
          <w:sz w:val="28"/>
          <w:szCs w:val="28"/>
        </w:rPr>
        <w:t xml:space="preserve"> И.Е.</w:t>
      </w:r>
    </w:p>
    <w:p w:rsidR="00A47517" w:rsidRPr="00287BD1" w:rsidRDefault="00A47517" w:rsidP="00A47517">
      <w:pPr>
        <w:shd w:val="clear" w:color="auto" w:fill="FFFFFF"/>
        <w:spacing w:after="0" w:line="240" w:lineRule="auto"/>
        <w:ind w:firstLine="709"/>
        <w:jc w:val="both"/>
        <w:rPr>
          <w:rFonts w:ascii="Times New Roman" w:hAnsi="Times New Roman"/>
          <w:color w:val="000000"/>
          <w:sz w:val="28"/>
          <w:szCs w:val="28"/>
        </w:rPr>
      </w:pPr>
      <w:r w:rsidRPr="00287BD1">
        <w:rPr>
          <w:rFonts w:ascii="Times New Roman" w:hAnsi="Times New Roman"/>
          <w:color w:val="000000"/>
          <w:sz w:val="28"/>
          <w:szCs w:val="28"/>
        </w:rPr>
        <w:t>По состоянию на 01.10.2022 года хозяйства, занимающихся производством молока, отсутств</w:t>
      </w:r>
      <w:r>
        <w:rPr>
          <w:rFonts w:ascii="Times New Roman" w:hAnsi="Times New Roman"/>
          <w:color w:val="000000"/>
          <w:sz w:val="28"/>
          <w:szCs w:val="28"/>
        </w:rPr>
        <w:t>уют</w:t>
      </w:r>
      <w:r w:rsidRPr="00287BD1">
        <w:rPr>
          <w:rFonts w:ascii="Times New Roman" w:hAnsi="Times New Roman"/>
          <w:color w:val="000000"/>
          <w:sz w:val="28"/>
          <w:szCs w:val="28"/>
        </w:rPr>
        <w:t>. Это связано с переходом СПК «Звезда» с молочного на мясное направление.</w:t>
      </w:r>
    </w:p>
    <w:p w:rsidR="00A47517" w:rsidRPr="00287BD1" w:rsidRDefault="00A47517" w:rsidP="00A47517">
      <w:pPr>
        <w:shd w:val="clear" w:color="auto" w:fill="FFFFFF"/>
        <w:spacing w:after="0" w:line="240" w:lineRule="auto"/>
        <w:ind w:firstLine="709"/>
        <w:jc w:val="both"/>
        <w:rPr>
          <w:rFonts w:ascii="Times New Roman" w:hAnsi="Times New Roman"/>
          <w:color w:val="000000"/>
          <w:sz w:val="28"/>
          <w:szCs w:val="28"/>
        </w:rPr>
      </w:pPr>
      <w:r w:rsidRPr="00287BD1">
        <w:rPr>
          <w:rFonts w:ascii="Times New Roman" w:hAnsi="Times New Roman"/>
          <w:color w:val="000000"/>
          <w:sz w:val="28"/>
          <w:szCs w:val="28"/>
        </w:rPr>
        <w:t>В 2022 году посев зерновых проводился на площади 15 га (33,3 % к уровню прошлого года). Валовой сбор зерна составил 29 тонн (43 % к уровню прошлого года). Средняя урожайность зерновых культур 190 ц/га. Заготовлено кормов: сено - 1026 тонн. Заготовлено на 1 условную голову 63,23 ц. кормовых единиц. Снижение посевных площадей с 2018 года сократилось на 284 га.</w:t>
      </w:r>
    </w:p>
    <w:p w:rsidR="00A47517" w:rsidRPr="00287BD1" w:rsidRDefault="00A47517" w:rsidP="00A47517">
      <w:pPr>
        <w:shd w:val="clear" w:color="auto" w:fill="FFFFFF"/>
        <w:spacing w:after="0" w:line="240" w:lineRule="auto"/>
        <w:ind w:firstLine="709"/>
        <w:jc w:val="both"/>
        <w:rPr>
          <w:rFonts w:ascii="Times New Roman" w:hAnsi="Times New Roman"/>
          <w:color w:val="000000"/>
          <w:sz w:val="28"/>
          <w:szCs w:val="28"/>
        </w:rPr>
      </w:pPr>
      <w:r w:rsidRPr="00287BD1">
        <w:rPr>
          <w:rFonts w:ascii="Times New Roman" w:hAnsi="Times New Roman"/>
          <w:color w:val="000000"/>
          <w:sz w:val="28"/>
          <w:szCs w:val="28"/>
        </w:rPr>
        <w:t xml:space="preserve">Численность работников, занятых в сфере сельского хозяйства составляет 17 человек, что ниже уровня 2018 года </w:t>
      </w:r>
      <w:r w:rsidRPr="003075DF">
        <w:rPr>
          <w:rFonts w:ascii="Times New Roman" w:hAnsi="Times New Roman"/>
          <w:color w:val="000000"/>
          <w:sz w:val="28"/>
          <w:szCs w:val="28"/>
        </w:rPr>
        <w:t xml:space="preserve">на 58,6 </w:t>
      </w:r>
      <w:r>
        <w:rPr>
          <w:rFonts w:ascii="Times New Roman" w:hAnsi="Times New Roman"/>
          <w:color w:val="000000"/>
          <w:sz w:val="28"/>
          <w:szCs w:val="28"/>
        </w:rPr>
        <w:t>%</w:t>
      </w:r>
    </w:p>
    <w:p w:rsidR="00A47517" w:rsidRPr="00287BD1" w:rsidRDefault="00A47517" w:rsidP="00A47517">
      <w:pPr>
        <w:shd w:val="clear" w:color="auto" w:fill="FFFFFF"/>
        <w:spacing w:after="0" w:line="240" w:lineRule="auto"/>
        <w:ind w:firstLine="709"/>
        <w:jc w:val="both"/>
        <w:rPr>
          <w:rFonts w:ascii="Times New Roman" w:hAnsi="Times New Roman"/>
          <w:color w:val="000000"/>
          <w:sz w:val="28"/>
          <w:szCs w:val="28"/>
        </w:rPr>
      </w:pPr>
      <w:r w:rsidRPr="00287BD1">
        <w:rPr>
          <w:rFonts w:ascii="Times New Roman" w:hAnsi="Times New Roman"/>
          <w:color w:val="000000"/>
          <w:sz w:val="28"/>
          <w:szCs w:val="28"/>
        </w:rPr>
        <w:t xml:space="preserve">Финансовое состояние хозяйств остается сложным. Предприятия не имеют возможности за счет собственных средств вести расширенное производство, обновлять основные фонды. Для дальнейшего развития АПК </w:t>
      </w:r>
      <w:r>
        <w:rPr>
          <w:rFonts w:ascii="Times New Roman" w:hAnsi="Times New Roman"/>
          <w:color w:val="000000"/>
          <w:sz w:val="28"/>
          <w:szCs w:val="28"/>
        </w:rPr>
        <w:t xml:space="preserve">округа </w:t>
      </w:r>
      <w:r w:rsidRPr="00287BD1">
        <w:rPr>
          <w:rFonts w:ascii="Times New Roman" w:hAnsi="Times New Roman"/>
          <w:color w:val="000000"/>
          <w:sz w:val="28"/>
          <w:szCs w:val="28"/>
        </w:rPr>
        <w:t xml:space="preserve">значимым является привлечение инвесторов и участие в реализации целевых программах. </w:t>
      </w:r>
    </w:p>
    <w:p w:rsidR="00A47517" w:rsidRPr="00A47517" w:rsidRDefault="00A47517" w:rsidP="00A47517">
      <w:pPr>
        <w:pStyle w:val="1"/>
        <w:spacing w:before="0" w:line="240" w:lineRule="auto"/>
        <w:ind w:firstLine="708"/>
        <w:rPr>
          <w:rFonts w:ascii="Times New Roman" w:hAnsi="Times New Roman"/>
          <w:b w:val="0"/>
          <w:color w:val="000000"/>
        </w:rPr>
      </w:pPr>
      <w:r w:rsidRPr="00A47517">
        <w:rPr>
          <w:rFonts w:ascii="Times New Roman" w:hAnsi="Times New Roman"/>
          <w:b w:val="0"/>
          <w:color w:val="000000"/>
        </w:rPr>
        <w:t xml:space="preserve">В 2022 году объем финансирования из областного и федерального бюджетов, направленных на развитие сельскохозяйственного производства в ИП глава КФХ Герман Л.И. составляет 275,054 тысяч рублей (субсидия на проведение комплекса агротехнологических работ).  Рост объема инвестиций сдерживается тем, что сельскохозяйственные предприятия и крестьянские (фермерские) хозяйства не располагают необходимыми дополнительными финансовыми средствами, а привлечение инвестиционных кредитов невозможно по причине отсутствия залоговой базы </w:t>
      </w:r>
      <w:r w:rsidR="00EA0E85">
        <w:rPr>
          <w:rFonts w:ascii="Times New Roman" w:hAnsi="Times New Roman"/>
          <w:b w:val="0"/>
          <w:color w:val="000000"/>
        </w:rPr>
        <w:t>и неплатежеспособности хозяйств.</w:t>
      </w:r>
    </w:p>
    <w:p w:rsidR="00726CE6" w:rsidRPr="00090EE2" w:rsidRDefault="00726CE6" w:rsidP="00A47517">
      <w:pPr>
        <w:pStyle w:val="1"/>
        <w:spacing w:before="0" w:line="240" w:lineRule="auto"/>
        <w:rPr>
          <w:rFonts w:ascii="Times New Roman" w:hAnsi="Times New Roman"/>
          <w:color w:val="auto"/>
        </w:rPr>
      </w:pPr>
      <w:r w:rsidRPr="00090EE2">
        <w:rPr>
          <w:rFonts w:ascii="Times New Roman" w:hAnsi="Times New Roman"/>
          <w:color w:val="auto"/>
        </w:rPr>
        <w:t>Потребительский рынок</w:t>
      </w:r>
      <w:bookmarkEnd w:id="4"/>
    </w:p>
    <w:p w:rsidR="001D305F" w:rsidRPr="00287BD1" w:rsidRDefault="001D305F" w:rsidP="001D305F">
      <w:pPr>
        <w:spacing w:after="0" w:line="240" w:lineRule="auto"/>
        <w:ind w:firstLine="720"/>
        <w:jc w:val="both"/>
        <w:rPr>
          <w:rFonts w:ascii="Times New Roman" w:hAnsi="Times New Roman"/>
          <w:sz w:val="28"/>
          <w:szCs w:val="28"/>
        </w:rPr>
      </w:pPr>
      <w:r w:rsidRPr="00287BD1">
        <w:rPr>
          <w:rFonts w:ascii="Times New Roman" w:hAnsi="Times New Roman"/>
          <w:sz w:val="28"/>
          <w:szCs w:val="28"/>
        </w:rPr>
        <w:t>На территории района функционирует 174 объекта розничной торговли</w:t>
      </w:r>
      <w:r>
        <w:rPr>
          <w:rFonts w:ascii="Times New Roman" w:hAnsi="Times New Roman"/>
          <w:sz w:val="28"/>
          <w:szCs w:val="28"/>
        </w:rPr>
        <w:t xml:space="preserve"> (в 2021 году 181 предприятие)</w:t>
      </w:r>
      <w:r w:rsidRPr="00287BD1">
        <w:rPr>
          <w:rFonts w:ascii="Times New Roman" w:hAnsi="Times New Roman"/>
          <w:sz w:val="28"/>
          <w:szCs w:val="28"/>
        </w:rPr>
        <w:t xml:space="preserve">, 15 предприятие общественного питания на 795 посадочных мест (6 предприятий общедоступной сети общественного питания на </w:t>
      </w:r>
      <w:r w:rsidRPr="00287BD1">
        <w:rPr>
          <w:rFonts w:ascii="Times New Roman" w:hAnsi="Times New Roman"/>
          <w:sz w:val="28"/>
          <w:szCs w:val="28"/>
        </w:rPr>
        <w:lastRenderedPageBreak/>
        <w:t xml:space="preserve">302 посадочных места). Работают 5 магазинов федеральных и региональных сетевых компаний. </w:t>
      </w:r>
    </w:p>
    <w:p w:rsidR="001D305F" w:rsidRPr="00287BD1" w:rsidRDefault="001D305F" w:rsidP="001D305F">
      <w:pPr>
        <w:widowControl w:val="0"/>
        <w:autoSpaceDE w:val="0"/>
        <w:autoSpaceDN w:val="0"/>
        <w:spacing w:after="0" w:line="240" w:lineRule="auto"/>
        <w:ind w:firstLine="708"/>
        <w:jc w:val="both"/>
        <w:rPr>
          <w:rFonts w:ascii="Times New Roman" w:hAnsi="Times New Roman"/>
          <w:sz w:val="28"/>
          <w:szCs w:val="28"/>
        </w:rPr>
      </w:pPr>
      <w:r w:rsidRPr="00287BD1">
        <w:rPr>
          <w:rFonts w:ascii="Times New Roman" w:hAnsi="Times New Roman"/>
          <w:sz w:val="28"/>
          <w:szCs w:val="28"/>
        </w:rPr>
        <w:t xml:space="preserve">Начиная с 2017 года в рамках реализации областной программы «Экономическое развитие Вологодской области на 2014-2020 годы» и муниципальной программы </w:t>
      </w:r>
      <w:r w:rsidRPr="00287BD1">
        <w:rPr>
          <w:rFonts w:ascii="Times New Roman" w:hAnsi="Times New Roman"/>
          <w:b/>
          <w:sz w:val="28"/>
          <w:szCs w:val="28"/>
        </w:rPr>
        <w:t>«</w:t>
      </w:r>
      <w:r w:rsidRPr="00287BD1">
        <w:rPr>
          <w:rFonts w:ascii="Times New Roman" w:hAnsi="Times New Roman"/>
          <w:sz w:val="28"/>
          <w:szCs w:val="28"/>
        </w:rPr>
        <w:t>Развитие и поддержка субъектов малого и среднего предпринимательства и развитие потребительского рынка Бабушкинского муниципального района на 2017-2020 годы» 2 торговым организациям, занимающихся доставкой товаров в малонаселенные и труднодоступные населенные пункты Бабушкинского района, выплачены субсидии на возмещение затрат на ГСМ по доставке товаров в размере порядка 160,0</w:t>
      </w:r>
      <w:r w:rsidRPr="001D305F">
        <w:rPr>
          <w:rFonts w:ascii="Times New Roman" w:hAnsi="Times New Roman"/>
          <w:sz w:val="28"/>
          <w:szCs w:val="28"/>
        </w:rPr>
        <w:t xml:space="preserve"> </w:t>
      </w:r>
      <w:r w:rsidRPr="00287BD1">
        <w:rPr>
          <w:rFonts w:ascii="Times New Roman" w:hAnsi="Times New Roman"/>
          <w:sz w:val="28"/>
          <w:szCs w:val="28"/>
        </w:rPr>
        <w:t>тыс. руб.</w:t>
      </w:r>
    </w:p>
    <w:p w:rsidR="001D305F" w:rsidRPr="00ED1D2F" w:rsidRDefault="001D305F" w:rsidP="001D305F">
      <w:pPr>
        <w:widowControl w:val="0"/>
        <w:autoSpaceDE w:val="0"/>
        <w:autoSpaceDN w:val="0"/>
        <w:spacing w:after="0" w:line="240" w:lineRule="auto"/>
        <w:ind w:firstLine="708"/>
        <w:jc w:val="both"/>
        <w:rPr>
          <w:rFonts w:ascii="Times New Roman" w:hAnsi="Times New Roman"/>
          <w:sz w:val="28"/>
          <w:szCs w:val="28"/>
        </w:rPr>
      </w:pPr>
      <w:r w:rsidRPr="00287BD1">
        <w:rPr>
          <w:rFonts w:ascii="Times New Roman" w:hAnsi="Times New Roman"/>
          <w:sz w:val="28"/>
          <w:szCs w:val="28"/>
        </w:rPr>
        <w:t xml:space="preserve"> Оборот розничной торговли за 10 месяцев 2022 года достиг 613</w:t>
      </w:r>
      <w:r>
        <w:rPr>
          <w:rFonts w:ascii="Times New Roman" w:hAnsi="Times New Roman"/>
          <w:sz w:val="28"/>
          <w:szCs w:val="28"/>
        </w:rPr>
        <w:t>, </w:t>
      </w:r>
      <w:r w:rsidRPr="00287BD1">
        <w:rPr>
          <w:rFonts w:ascii="Times New Roman" w:hAnsi="Times New Roman"/>
          <w:sz w:val="28"/>
          <w:szCs w:val="28"/>
        </w:rPr>
        <w:t>4</w:t>
      </w:r>
      <w:r>
        <w:rPr>
          <w:rFonts w:ascii="Times New Roman" w:hAnsi="Times New Roman"/>
          <w:sz w:val="28"/>
          <w:szCs w:val="28"/>
        </w:rPr>
        <w:t xml:space="preserve"> млн. руб</w:t>
      </w:r>
      <w:r w:rsidRPr="00ED1D2F">
        <w:rPr>
          <w:rFonts w:ascii="Times New Roman" w:hAnsi="Times New Roman"/>
          <w:sz w:val="28"/>
          <w:szCs w:val="28"/>
        </w:rPr>
        <w:t>. – 112,3</w:t>
      </w:r>
      <w:proofErr w:type="gramStart"/>
      <w:r w:rsidRPr="00ED1D2F">
        <w:rPr>
          <w:rFonts w:ascii="Times New Roman" w:hAnsi="Times New Roman"/>
          <w:sz w:val="28"/>
          <w:szCs w:val="28"/>
        </w:rPr>
        <w:t>%  к</w:t>
      </w:r>
      <w:proofErr w:type="gramEnd"/>
      <w:r w:rsidRPr="00ED1D2F">
        <w:rPr>
          <w:rFonts w:ascii="Times New Roman" w:hAnsi="Times New Roman"/>
          <w:sz w:val="28"/>
          <w:szCs w:val="28"/>
        </w:rPr>
        <w:t xml:space="preserve"> уровню 2021 года., в т.ч. от реализации пищевых продуктов и табачных изделий- 355</w:t>
      </w:r>
      <w:r>
        <w:rPr>
          <w:rFonts w:ascii="Times New Roman" w:hAnsi="Times New Roman"/>
          <w:sz w:val="28"/>
          <w:szCs w:val="28"/>
        </w:rPr>
        <w:t>,</w:t>
      </w:r>
      <w:r w:rsidRPr="00ED1D2F">
        <w:rPr>
          <w:rFonts w:ascii="Times New Roman" w:hAnsi="Times New Roman"/>
          <w:sz w:val="28"/>
          <w:szCs w:val="28"/>
        </w:rPr>
        <w:t> 1</w:t>
      </w:r>
      <w:r>
        <w:rPr>
          <w:rFonts w:ascii="Times New Roman" w:hAnsi="Times New Roman"/>
          <w:sz w:val="28"/>
          <w:szCs w:val="28"/>
        </w:rPr>
        <w:t xml:space="preserve"> млн</w:t>
      </w:r>
      <w:r w:rsidRPr="00ED1D2F">
        <w:rPr>
          <w:rFonts w:ascii="Times New Roman" w:hAnsi="Times New Roman"/>
          <w:sz w:val="28"/>
          <w:szCs w:val="28"/>
        </w:rPr>
        <w:t>. руб., от реализации непродовольственных товаров- 258</w:t>
      </w:r>
      <w:r>
        <w:rPr>
          <w:rFonts w:ascii="Times New Roman" w:hAnsi="Times New Roman"/>
          <w:sz w:val="28"/>
          <w:szCs w:val="28"/>
        </w:rPr>
        <w:t>,</w:t>
      </w:r>
      <w:r w:rsidRPr="00ED1D2F">
        <w:rPr>
          <w:rFonts w:ascii="Times New Roman" w:hAnsi="Times New Roman"/>
          <w:sz w:val="28"/>
          <w:szCs w:val="28"/>
        </w:rPr>
        <w:t> 3</w:t>
      </w:r>
      <w:r>
        <w:rPr>
          <w:rFonts w:ascii="Times New Roman" w:hAnsi="Times New Roman"/>
          <w:sz w:val="28"/>
          <w:szCs w:val="28"/>
        </w:rPr>
        <w:t xml:space="preserve"> млн</w:t>
      </w:r>
      <w:r w:rsidRPr="00ED1D2F">
        <w:rPr>
          <w:rFonts w:ascii="Times New Roman" w:hAnsi="Times New Roman"/>
          <w:sz w:val="28"/>
          <w:szCs w:val="28"/>
        </w:rPr>
        <w:t xml:space="preserve">. руб. </w:t>
      </w:r>
    </w:p>
    <w:p w:rsidR="001D305F" w:rsidRPr="00287BD1" w:rsidRDefault="001D305F" w:rsidP="001D305F">
      <w:pPr>
        <w:spacing w:after="0" w:line="240" w:lineRule="auto"/>
        <w:jc w:val="both"/>
        <w:rPr>
          <w:rStyle w:val="a4"/>
          <w:rFonts w:ascii="Times New Roman" w:hAnsi="Times New Roman"/>
          <w:b w:val="0"/>
          <w:sz w:val="28"/>
          <w:szCs w:val="28"/>
        </w:rPr>
      </w:pPr>
      <w:r w:rsidRPr="00ED1D2F">
        <w:rPr>
          <w:rStyle w:val="a4"/>
          <w:rFonts w:ascii="Times New Roman" w:hAnsi="Times New Roman"/>
          <w:sz w:val="28"/>
          <w:szCs w:val="28"/>
        </w:rPr>
        <w:tab/>
      </w:r>
      <w:r w:rsidRPr="00ED1D2F">
        <w:rPr>
          <w:rStyle w:val="a4"/>
          <w:rFonts w:ascii="Times New Roman" w:hAnsi="Times New Roman"/>
          <w:b w:val="0"/>
          <w:sz w:val="28"/>
          <w:szCs w:val="28"/>
        </w:rPr>
        <w:t>Оборот общественного питания за 10 месяцев 2022</w:t>
      </w:r>
      <w:r w:rsidRPr="00287BD1">
        <w:rPr>
          <w:rStyle w:val="a4"/>
          <w:rFonts w:ascii="Times New Roman" w:hAnsi="Times New Roman"/>
          <w:b w:val="0"/>
          <w:sz w:val="28"/>
          <w:szCs w:val="28"/>
        </w:rPr>
        <w:t xml:space="preserve"> года составил 12</w:t>
      </w:r>
      <w:r>
        <w:rPr>
          <w:rStyle w:val="a4"/>
          <w:rFonts w:ascii="Times New Roman" w:hAnsi="Times New Roman"/>
          <w:b w:val="0"/>
          <w:sz w:val="28"/>
          <w:szCs w:val="28"/>
        </w:rPr>
        <w:t>, </w:t>
      </w:r>
      <w:r w:rsidRPr="00287BD1">
        <w:rPr>
          <w:rStyle w:val="a4"/>
          <w:rFonts w:ascii="Times New Roman" w:hAnsi="Times New Roman"/>
          <w:b w:val="0"/>
          <w:sz w:val="28"/>
          <w:szCs w:val="28"/>
        </w:rPr>
        <w:t>4</w:t>
      </w:r>
      <w:r>
        <w:rPr>
          <w:rStyle w:val="a4"/>
          <w:rFonts w:ascii="Times New Roman" w:hAnsi="Times New Roman"/>
          <w:b w:val="0"/>
          <w:sz w:val="28"/>
          <w:szCs w:val="28"/>
        </w:rPr>
        <w:t>,00</w:t>
      </w:r>
      <w:r w:rsidRPr="00287BD1">
        <w:rPr>
          <w:rStyle w:val="a4"/>
          <w:rFonts w:ascii="Times New Roman" w:hAnsi="Times New Roman"/>
          <w:b w:val="0"/>
          <w:sz w:val="28"/>
          <w:szCs w:val="28"/>
        </w:rPr>
        <w:t xml:space="preserve"> </w:t>
      </w:r>
      <w:r>
        <w:rPr>
          <w:rStyle w:val="a4"/>
          <w:rFonts w:ascii="Times New Roman" w:hAnsi="Times New Roman"/>
          <w:b w:val="0"/>
          <w:sz w:val="28"/>
          <w:szCs w:val="28"/>
        </w:rPr>
        <w:t>млн</w:t>
      </w:r>
      <w:r w:rsidRPr="00287BD1">
        <w:rPr>
          <w:rStyle w:val="a4"/>
          <w:rFonts w:ascii="Times New Roman" w:hAnsi="Times New Roman"/>
          <w:b w:val="0"/>
          <w:sz w:val="28"/>
          <w:szCs w:val="28"/>
        </w:rPr>
        <w:t xml:space="preserve">. руб., что выше уровня 2021 года </w:t>
      </w:r>
      <w:r w:rsidRPr="00ED1D2F">
        <w:rPr>
          <w:rStyle w:val="a4"/>
          <w:rFonts w:ascii="Times New Roman" w:hAnsi="Times New Roman"/>
          <w:b w:val="0"/>
          <w:sz w:val="28"/>
          <w:szCs w:val="28"/>
        </w:rPr>
        <w:t>на</w:t>
      </w:r>
      <w:r>
        <w:rPr>
          <w:rStyle w:val="a4"/>
          <w:rFonts w:ascii="Times New Roman" w:hAnsi="Times New Roman"/>
          <w:b w:val="0"/>
          <w:sz w:val="28"/>
          <w:szCs w:val="28"/>
        </w:rPr>
        <w:t xml:space="preserve"> 99,5 %</w:t>
      </w:r>
      <w:r w:rsidRPr="00ED1D2F">
        <w:rPr>
          <w:rStyle w:val="a4"/>
          <w:rFonts w:ascii="Times New Roman" w:hAnsi="Times New Roman"/>
          <w:b w:val="0"/>
          <w:sz w:val="28"/>
          <w:szCs w:val="28"/>
        </w:rPr>
        <w:t>.</w:t>
      </w:r>
    </w:p>
    <w:p w:rsidR="00726CE6" w:rsidRPr="001D305F" w:rsidRDefault="00726CE6" w:rsidP="001D305F">
      <w:pPr>
        <w:spacing w:after="0" w:line="240" w:lineRule="auto"/>
        <w:jc w:val="both"/>
        <w:rPr>
          <w:rStyle w:val="10"/>
          <w:rFonts w:ascii="Times New Roman" w:eastAsia="Calibri" w:hAnsi="Times New Roman"/>
          <w:color w:val="000000" w:themeColor="text1"/>
        </w:rPr>
      </w:pPr>
      <w:r w:rsidRPr="00090EE2">
        <w:rPr>
          <w:rFonts w:ascii="Times New Roman" w:hAnsi="Times New Roman"/>
          <w:sz w:val="28"/>
          <w:szCs w:val="28"/>
        </w:rPr>
        <w:tab/>
      </w:r>
      <w:bookmarkStart w:id="5" w:name="_Toc440378725"/>
      <w:r w:rsidRPr="001D305F">
        <w:rPr>
          <w:rStyle w:val="10"/>
          <w:rFonts w:ascii="Times New Roman" w:eastAsia="Calibri" w:hAnsi="Times New Roman"/>
          <w:color w:val="000000" w:themeColor="text1"/>
        </w:rPr>
        <w:t>Малое и среднее предпринимательство</w:t>
      </w:r>
      <w:bookmarkEnd w:id="5"/>
    </w:p>
    <w:p w:rsidR="00CE07AB" w:rsidRPr="00287BD1" w:rsidRDefault="00CE07AB" w:rsidP="00CE07AB">
      <w:pPr>
        <w:spacing w:after="0" w:line="240" w:lineRule="auto"/>
        <w:ind w:firstLine="567"/>
        <w:contextualSpacing/>
        <w:jc w:val="both"/>
        <w:rPr>
          <w:rFonts w:ascii="Times New Roman" w:hAnsi="Times New Roman"/>
          <w:sz w:val="28"/>
          <w:szCs w:val="28"/>
        </w:rPr>
      </w:pPr>
      <w:r w:rsidRPr="00287BD1">
        <w:rPr>
          <w:rFonts w:ascii="Times New Roman" w:hAnsi="Times New Roman"/>
          <w:sz w:val="28"/>
          <w:szCs w:val="28"/>
        </w:rPr>
        <w:t xml:space="preserve">Малый и средний бизнес представлен практически во всех сферах экономики </w:t>
      </w:r>
      <w:r>
        <w:rPr>
          <w:rFonts w:ascii="Times New Roman" w:hAnsi="Times New Roman"/>
          <w:sz w:val="28"/>
          <w:szCs w:val="28"/>
        </w:rPr>
        <w:t>округа,</w:t>
      </w:r>
      <w:r w:rsidRPr="00287BD1">
        <w:rPr>
          <w:rFonts w:ascii="Times New Roman" w:hAnsi="Times New Roman"/>
          <w:sz w:val="28"/>
          <w:szCs w:val="28"/>
        </w:rPr>
        <w:t xml:space="preserve"> где трудится порядка 2 250 человек.</w:t>
      </w:r>
    </w:p>
    <w:p w:rsidR="00CE07AB" w:rsidRPr="00287BD1" w:rsidRDefault="00CE07AB" w:rsidP="00CE07AB">
      <w:pPr>
        <w:spacing w:after="0" w:line="240" w:lineRule="auto"/>
        <w:ind w:firstLine="708"/>
        <w:contextualSpacing/>
        <w:jc w:val="both"/>
        <w:rPr>
          <w:rFonts w:ascii="Times New Roman" w:hAnsi="Times New Roman"/>
          <w:sz w:val="28"/>
          <w:szCs w:val="28"/>
        </w:rPr>
      </w:pPr>
      <w:r w:rsidRPr="00287BD1">
        <w:rPr>
          <w:rFonts w:ascii="Times New Roman" w:hAnsi="Times New Roman"/>
          <w:bCs/>
          <w:sz w:val="28"/>
          <w:szCs w:val="28"/>
        </w:rPr>
        <w:t>Доля среднесписочной численности работников малых и средних предприятий в численности работников всех предприятий и организаций, составляет 71%, что выше уровня прошлого года на 17%.</w:t>
      </w:r>
    </w:p>
    <w:p w:rsidR="00CE07AB" w:rsidRPr="00287BD1" w:rsidRDefault="00CE07AB" w:rsidP="00CE07AB">
      <w:pPr>
        <w:spacing w:after="0" w:line="240" w:lineRule="auto"/>
        <w:ind w:firstLine="567"/>
        <w:contextualSpacing/>
        <w:jc w:val="both"/>
        <w:rPr>
          <w:rFonts w:ascii="Times New Roman" w:hAnsi="Times New Roman"/>
          <w:sz w:val="28"/>
          <w:szCs w:val="28"/>
        </w:rPr>
      </w:pPr>
      <w:r w:rsidRPr="00287BD1">
        <w:rPr>
          <w:rFonts w:ascii="Times New Roman" w:hAnsi="Times New Roman"/>
          <w:sz w:val="28"/>
          <w:szCs w:val="28"/>
        </w:rPr>
        <w:t xml:space="preserve">Основной задачей, которую ставит перед собой администрация </w:t>
      </w:r>
      <w:r w:rsidRPr="00BF62D1">
        <w:rPr>
          <w:rFonts w:ascii="Times New Roman" w:hAnsi="Times New Roman"/>
          <w:sz w:val="28"/>
          <w:szCs w:val="28"/>
        </w:rPr>
        <w:t>округа</w:t>
      </w:r>
      <w:r w:rsidRPr="00287BD1">
        <w:rPr>
          <w:rFonts w:ascii="Times New Roman" w:hAnsi="Times New Roman"/>
          <w:sz w:val="28"/>
          <w:szCs w:val="28"/>
        </w:rPr>
        <w:t>, является реализация политики поддержки малого и среднего предпринимательства: оказание консультационных и информационных услуг, реализация мер имущественной поддержки, пропаганда и популяризация предпринимательства, организация выставочно-ярмарочных мероприятий.</w:t>
      </w:r>
      <w:r w:rsidRPr="00287BD1">
        <w:rPr>
          <w:rFonts w:ascii="Times New Roman" w:hAnsi="Times New Roman"/>
          <w:sz w:val="28"/>
          <w:szCs w:val="28"/>
        </w:rPr>
        <w:tab/>
      </w:r>
    </w:p>
    <w:p w:rsidR="00CE07AB" w:rsidRPr="00287BD1" w:rsidRDefault="00CE07AB" w:rsidP="00CE07AB">
      <w:pPr>
        <w:spacing w:after="0" w:line="240" w:lineRule="auto"/>
        <w:ind w:firstLine="708"/>
        <w:contextualSpacing/>
        <w:jc w:val="both"/>
        <w:rPr>
          <w:rFonts w:ascii="Times New Roman" w:hAnsi="Times New Roman"/>
          <w:sz w:val="28"/>
          <w:szCs w:val="28"/>
        </w:rPr>
      </w:pPr>
      <w:r w:rsidRPr="00287BD1">
        <w:rPr>
          <w:rFonts w:ascii="Times New Roman" w:hAnsi="Times New Roman"/>
          <w:sz w:val="28"/>
          <w:szCs w:val="28"/>
        </w:rPr>
        <w:t xml:space="preserve">В 2022 году </w:t>
      </w:r>
      <w:r w:rsidRPr="00BF62D1">
        <w:rPr>
          <w:rFonts w:ascii="Times New Roman" w:hAnsi="Times New Roman"/>
          <w:sz w:val="28"/>
          <w:szCs w:val="28"/>
        </w:rPr>
        <w:t>администрацией округа</w:t>
      </w:r>
      <w:r w:rsidRPr="00287BD1">
        <w:rPr>
          <w:rFonts w:ascii="Times New Roman" w:hAnsi="Times New Roman"/>
          <w:sz w:val="28"/>
          <w:szCs w:val="28"/>
        </w:rPr>
        <w:t xml:space="preserve"> проводились консультации субъектов МСП в режиме телефонных переговоров и рассылки на электронные адреса предпринимателей. Консультации получили порядка 220 человек. </w:t>
      </w:r>
    </w:p>
    <w:p w:rsidR="00CE07AB" w:rsidRPr="00287BD1" w:rsidRDefault="00CE07AB" w:rsidP="00CE07AB">
      <w:pPr>
        <w:pStyle w:val="ac"/>
        <w:jc w:val="both"/>
        <w:rPr>
          <w:sz w:val="28"/>
          <w:szCs w:val="28"/>
        </w:rPr>
      </w:pPr>
      <w:r w:rsidRPr="00BF62D1">
        <w:rPr>
          <w:sz w:val="28"/>
          <w:szCs w:val="28"/>
        </w:rPr>
        <w:tab/>
      </w:r>
      <w:r>
        <w:rPr>
          <w:sz w:val="28"/>
          <w:szCs w:val="28"/>
        </w:rPr>
        <w:t xml:space="preserve">           </w:t>
      </w:r>
      <w:r w:rsidRPr="00BF62D1">
        <w:rPr>
          <w:sz w:val="28"/>
          <w:szCs w:val="28"/>
        </w:rPr>
        <w:t>Основными</w:t>
      </w:r>
      <w:r w:rsidRPr="00287BD1">
        <w:rPr>
          <w:sz w:val="28"/>
          <w:szCs w:val="28"/>
        </w:rPr>
        <w:t xml:space="preserve"> проблемами малого и среднего бизнеса остаются: высокие ставки налогов, нехватка оборотных средств на развитие бизнеса, нестабильность правового регулирования, недостаток квалифицированных кадров.</w:t>
      </w:r>
    </w:p>
    <w:p w:rsidR="00726CE6" w:rsidRPr="00090EE2" w:rsidRDefault="00726CE6" w:rsidP="00194949">
      <w:pPr>
        <w:spacing w:after="0" w:line="240" w:lineRule="auto"/>
        <w:ind w:left="34"/>
        <w:jc w:val="both"/>
        <w:rPr>
          <w:rFonts w:ascii="Times New Roman" w:hAnsi="Times New Roman"/>
          <w:b/>
          <w:sz w:val="28"/>
          <w:szCs w:val="28"/>
        </w:rPr>
      </w:pPr>
      <w:r w:rsidRPr="00090EE2">
        <w:rPr>
          <w:rFonts w:ascii="Times New Roman" w:hAnsi="Times New Roman"/>
          <w:sz w:val="28"/>
          <w:szCs w:val="28"/>
        </w:rPr>
        <w:tab/>
      </w:r>
      <w:r w:rsidRPr="00090EE2">
        <w:rPr>
          <w:rFonts w:ascii="Times New Roman" w:hAnsi="Times New Roman"/>
          <w:b/>
          <w:sz w:val="28"/>
          <w:szCs w:val="28"/>
        </w:rPr>
        <w:t>Инвестиции</w:t>
      </w:r>
    </w:p>
    <w:p w:rsidR="00CE07AB" w:rsidRPr="00287BD1" w:rsidRDefault="00CE07AB" w:rsidP="00CE07AB">
      <w:pPr>
        <w:pStyle w:val="a8"/>
        <w:spacing w:after="0" w:line="240" w:lineRule="auto"/>
        <w:ind w:left="0" w:firstLine="542"/>
        <w:jc w:val="both"/>
        <w:rPr>
          <w:rFonts w:ascii="Times New Roman" w:hAnsi="Times New Roman"/>
          <w:sz w:val="28"/>
          <w:szCs w:val="28"/>
        </w:rPr>
      </w:pPr>
      <w:r w:rsidRPr="00287BD1">
        <w:rPr>
          <w:rFonts w:ascii="Times New Roman" w:hAnsi="Times New Roman"/>
          <w:sz w:val="28"/>
          <w:szCs w:val="28"/>
        </w:rPr>
        <w:t>Объём инвестиций за январь –</w:t>
      </w:r>
      <w:r>
        <w:rPr>
          <w:rFonts w:ascii="Times New Roman" w:hAnsi="Times New Roman"/>
          <w:sz w:val="28"/>
          <w:szCs w:val="28"/>
        </w:rPr>
        <w:t xml:space="preserve"> </w:t>
      </w:r>
      <w:r w:rsidRPr="00287BD1">
        <w:rPr>
          <w:rFonts w:ascii="Times New Roman" w:hAnsi="Times New Roman"/>
          <w:sz w:val="28"/>
          <w:szCs w:val="28"/>
        </w:rPr>
        <w:t>сентябрь 2022 года составил 123 166 тыс. руб. или на 96,8 % выше аналогичного периода 2021 года.  Как и прошлые годы основной источник инвестиций</w:t>
      </w:r>
      <w:r>
        <w:rPr>
          <w:rFonts w:ascii="Times New Roman" w:hAnsi="Times New Roman"/>
          <w:sz w:val="28"/>
          <w:szCs w:val="28"/>
        </w:rPr>
        <w:t xml:space="preserve"> </w:t>
      </w:r>
      <w:r w:rsidRPr="00287BD1">
        <w:rPr>
          <w:rFonts w:ascii="Times New Roman" w:hAnsi="Times New Roman"/>
          <w:sz w:val="28"/>
          <w:szCs w:val="28"/>
        </w:rPr>
        <w:t xml:space="preserve">- бюджетные средства. </w:t>
      </w:r>
    </w:p>
    <w:p w:rsidR="00CE07AB" w:rsidRPr="00287BD1" w:rsidRDefault="00CE07AB" w:rsidP="00CE07AB">
      <w:pPr>
        <w:spacing w:after="0" w:line="240" w:lineRule="auto"/>
        <w:ind w:firstLine="709"/>
        <w:jc w:val="both"/>
        <w:rPr>
          <w:rFonts w:ascii="Times New Roman" w:hAnsi="Times New Roman"/>
          <w:sz w:val="28"/>
          <w:szCs w:val="28"/>
        </w:rPr>
      </w:pPr>
      <w:r w:rsidRPr="00287BD1">
        <w:rPr>
          <w:rFonts w:ascii="Times New Roman" w:hAnsi="Times New Roman"/>
          <w:sz w:val="28"/>
          <w:szCs w:val="28"/>
        </w:rPr>
        <w:t xml:space="preserve">Столь значительный рост вызван строительством крупных объектов по решению Градостроительного совета при Губернаторе в 2019 году (ФОК и стадион).  Стоит отметить тот факт, что объем инвестиций в реальном секторе экономики снизился к уровню </w:t>
      </w:r>
      <w:r w:rsidRPr="00BC7120">
        <w:rPr>
          <w:rFonts w:ascii="Times New Roman" w:hAnsi="Times New Roman"/>
          <w:sz w:val="28"/>
          <w:szCs w:val="28"/>
        </w:rPr>
        <w:t xml:space="preserve">2021 года на 15.8 </w:t>
      </w:r>
      <w:r>
        <w:rPr>
          <w:rFonts w:ascii="Times New Roman" w:hAnsi="Times New Roman"/>
          <w:sz w:val="28"/>
          <w:szCs w:val="28"/>
        </w:rPr>
        <w:t>%</w:t>
      </w:r>
      <w:r w:rsidRPr="00BC7120">
        <w:rPr>
          <w:rFonts w:ascii="Times New Roman" w:hAnsi="Times New Roman"/>
          <w:sz w:val="28"/>
          <w:szCs w:val="28"/>
        </w:rPr>
        <w:t>.</w:t>
      </w:r>
      <w:r w:rsidRPr="00287BD1">
        <w:rPr>
          <w:rFonts w:ascii="Times New Roman" w:hAnsi="Times New Roman"/>
          <w:sz w:val="28"/>
          <w:szCs w:val="28"/>
        </w:rPr>
        <w:t xml:space="preserve"> Снижение инвестиционный активности бизнеса так же связано со сложной геополитической обстановкой и введением санкций против Российской Федерации.</w:t>
      </w:r>
    </w:p>
    <w:p w:rsidR="00CE07AB" w:rsidRDefault="00CE07AB" w:rsidP="00CE07AB">
      <w:pPr>
        <w:spacing w:after="0" w:line="240" w:lineRule="auto"/>
        <w:ind w:firstLine="709"/>
        <w:jc w:val="both"/>
        <w:rPr>
          <w:rFonts w:ascii="Times New Roman" w:hAnsi="Times New Roman"/>
          <w:sz w:val="28"/>
          <w:szCs w:val="28"/>
        </w:rPr>
      </w:pPr>
      <w:r w:rsidRPr="00287BD1">
        <w:rPr>
          <w:rFonts w:ascii="Times New Roman" w:hAnsi="Times New Roman"/>
          <w:sz w:val="28"/>
          <w:szCs w:val="28"/>
        </w:rPr>
        <w:t xml:space="preserve"> В перспективе в 2023-2025 годах по мере стабилизации ситуации в экономике, а также с учетом действующих инструментов поддержки, направленных на стимулирование роста капитальных вложений, ожидается повышение инвестиционной активности, в том числе за счет реализации на предприятиях программ по модернизации, а также старта новых проектов по </w:t>
      </w:r>
      <w:r w:rsidRPr="00BC7120">
        <w:rPr>
          <w:rFonts w:ascii="Times New Roman" w:hAnsi="Times New Roman"/>
          <w:sz w:val="28"/>
          <w:szCs w:val="28"/>
        </w:rPr>
        <w:t xml:space="preserve">созданию </w:t>
      </w:r>
      <w:r w:rsidRPr="00BC7120">
        <w:rPr>
          <w:rFonts w:ascii="Times New Roman" w:hAnsi="Times New Roman"/>
          <w:sz w:val="28"/>
          <w:szCs w:val="28"/>
        </w:rPr>
        <w:lastRenderedPageBreak/>
        <w:t>производств, сроки которых были перенесены ранее в связи со сложной экономической ситуацией</w:t>
      </w:r>
      <w:r>
        <w:rPr>
          <w:rFonts w:ascii="Times New Roman" w:hAnsi="Times New Roman"/>
          <w:sz w:val="28"/>
          <w:szCs w:val="28"/>
        </w:rPr>
        <w:t>.</w:t>
      </w:r>
    </w:p>
    <w:p w:rsidR="00726CE6" w:rsidRPr="00090EE2" w:rsidRDefault="00726CE6" w:rsidP="00EE3AE1">
      <w:pPr>
        <w:spacing w:after="0" w:line="240" w:lineRule="auto"/>
        <w:ind w:firstLine="360"/>
        <w:jc w:val="both"/>
        <w:rPr>
          <w:rFonts w:ascii="Times New Roman" w:hAnsi="Times New Roman"/>
          <w:sz w:val="28"/>
          <w:szCs w:val="28"/>
        </w:rPr>
      </w:pPr>
      <w:r w:rsidRPr="00090EE2">
        <w:rPr>
          <w:rFonts w:ascii="Times New Roman" w:hAnsi="Times New Roman"/>
          <w:sz w:val="28"/>
          <w:szCs w:val="28"/>
        </w:rPr>
        <w:tab/>
      </w:r>
    </w:p>
    <w:p w:rsidR="00726CE6" w:rsidRPr="00090EE2" w:rsidRDefault="00726CE6" w:rsidP="00726CE6">
      <w:pPr>
        <w:pStyle w:val="1"/>
        <w:spacing w:before="0" w:line="240" w:lineRule="auto"/>
        <w:rPr>
          <w:rFonts w:ascii="Times New Roman" w:hAnsi="Times New Roman"/>
          <w:i/>
          <w:color w:val="auto"/>
        </w:rPr>
      </w:pPr>
      <w:bookmarkStart w:id="6" w:name="_Toc440378729"/>
      <w:r w:rsidRPr="00090EE2">
        <w:rPr>
          <w:rFonts w:ascii="Times New Roman" w:hAnsi="Times New Roman"/>
          <w:color w:val="auto"/>
        </w:rPr>
        <w:t>Образование</w:t>
      </w:r>
      <w:r w:rsidRPr="00090EE2">
        <w:rPr>
          <w:rFonts w:ascii="Times New Roman" w:hAnsi="Times New Roman"/>
          <w:i/>
          <w:color w:val="auto"/>
        </w:rPr>
        <w:t>.</w:t>
      </w:r>
      <w:bookmarkEnd w:id="6"/>
    </w:p>
    <w:p w:rsidR="001954FB" w:rsidRPr="00AF7348" w:rsidRDefault="0033757B" w:rsidP="001954FB">
      <w:pPr>
        <w:spacing w:after="0" w:line="240" w:lineRule="auto"/>
        <w:ind w:firstLine="567"/>
        <w:jc w:val="both"/>
        <w:rPr>
          <w:rFonts w:ascii="Times New Roman" w:hAnsi="Times New Roman"/>
          <w:sz w:val="28"/>
          <w:szCs w:val="28"/>
        </w:rPr>
      </w:pPr>
      <w:bookmarkStart w:id="7" w:name="_Toc440378731"/>
      <w:r w:rsidRPr="006C11A7">
        <w:rPr>
          <w:rFonts w:ascii="Times New Roman" w:hAnsi="Times New Roman"/>
          <w:bCs/>
          <w:sz w:val="28"/>
          <w:szCs w:val="28"/>
        </w:rPr>
        <w:t>Основной задачей в сфере образования является обеспечение каждому ребенку</w:t>
      </w:r>
      <w:r w:rsidR="00EA0E85">
        <w:rPr>
          <w:rFonts w:ascii="Times New Roman" w:hAnsi="Times New Roman"/>
          <w:bCs/>
          <w:sz w:val="28"/>
          <w:szCs w:val="28"/>
        </w:rPr>
        <w:t>.</w:t>
      </w:r>
      <w:r w:rsidRPr="006C11A7">
        <w:rPr>
          <w:rFonts w:ascii="Times New Roman" w:hAnsi="Times New Roman"/>
          <w:bCs/>
          <w:sz w:val="28"/>
          <w:szCs w:val="28"/>
        </w:rPr>
        <w:t xml:space="preserve"> </w:t>
      </w:r>
      <w:r w:rsidR="001954FB" w:rsidRPr="00AF7348">
        <w:rPr>
          <w:rFonts w:ascii="Times New Roman" w:hAnsi="Times New Roman"/>
          <w:sz w:val="28"/>
          <w:szCs w:val="28"/>
        </w:rPr>
        <w:t>Для</w:t>
      </w:r>
      <w:r w:rsidR="00EA0E85">
        <w:rPr>
          <w:rFonts w:ascii="Times New Roman" w:hAnsi="Times New Roman"/>
          <w:sz w:val="28"/>
          <w:szCs w:val="28"/>
        </w:rPr>
        <w:t xml:space="preserve"> </w:t>
      </w:r>
      <w:r w:rsidR="001954FB" w:rsidRPr="00AF7348">
        <w:rPr>
          <w:rFonts w:ascii="Times New Roman" w:hAnsi="Times New Roman"/>
          <w:sz w:val="28"/>
          <w:szCs w:val="28"/>
        </w:rPr>
        <w:t>обеспечения равного доступа к качественному образованию 5 шко</w:t>
      </w:r>
      <w:r w:rsidR="00EA0E85">
        <w:rPr>
          <w:rFonts w:ascii="Times New Roman" w:hAnsi="Times New Roman"/>
          <w:sz w:val="28"/>
          <w:szCs w:val="28"/>
        </w:rPr>
        <w:t xml:space="preserve">лами района организован подвоз </w:t>
      </w:r>
      <w:r w:rsidR="001954FB" w:rsidRPr="00AF7348">
        <w:rPr>
          <w:rFonts w:ascii="Times New Roman" w:hAnsi="Times New Roman"/>
          <w:sz w:val="28"/>
          <w:szCs w:val="28"/>
        </w:rPr>
        <w:t xml:space="preserve">обучающихся, задействовано 10 автобусов. </w:t>
      </w:r>
    </w:p>
    <w:p w:rsidR="001954FB" w:rsidRPr="00AF7348" w:rsidRDefault="001954FB" w:rsidP="001954FB">
      <w:pPr>
        <w:spacing w:after="0" w:line="240" w:lineRule="auto"/>
        <w:ind w:firstLine="567"/>
        <w:jc w:val="both"/>
        <w:rPr>
          <w:rFonts w:ascii="Times New Roman" w:hAnsi="Times New Roman"/>
          <w:sz w:val="28"/>
          <w:szCs w:val="28"/>
        </w:rPr>
      </w:pPr>
      <w:r w:rsidRPr="00AF7348">
        <w:rPr>
          <w:rFonts w:ascii="Times New Roman" w:hAnsi="Times New Roman"/>
          <w:sz w:val="28"/>
          <w:szCs w:val="28"/>
        </w:rPr>
        <w:t>В 2022 году в соответствии с распоряжением Правительства Российской Федерации от 24 августа 2022 года № 2406-р за счет средств федерального бюджета Бабушкинскому району распределен 1 школьный автобус вместимостью 10-12 мест. </w:t>
      </w:r>
    </w:p>
    <w:p w:rsidR="001954FB" w:rsidRPr="00AF7348" w:rsidRDefault="001954FB" w:rsidP="001954FB">
      <w:pPr>
        <w:spacing w:after="0" w:line="240" w:lineRule="auto"/>
        <w:ind w:firstLine="567"/>
        <w:jc w:val="both"/>
        <w:rPr>
          <w:rFonts w:ascii="Times New Roman" w:hAnsi="Times New Roman"/>
          <w:sz w:val="28"/>
          <w:szCs w:val="28"/>
        </w:rPr>
      </w:pPr>
      <w:r w:rsidRPr="00AF7348">
        <w:rPr>
          <w:rFonts w:ascii="Times New Roman" w:hAnsi="Times New Roman"/>
          <w:sz w:val="28"/>
          <w:szCs w:val="28"/>
        </w:rPr>
        <w:t>В рамках реализации регионального проекта «Современная школа» национального проекта «Образование» в 2022 году на базе МБОУ «</w:t>
      </w:r>
      <w:proofErr w:type="spellStart"/>
      <w:r w:rsidRPr="00AF7348">
        <w:rPr>
          <w:rFonts w:ascii="Times New Roman" w:hAnsi="Times New Roman"/>
          <w:sz w:val="28"/>
          <w:szCs w:val="28"/>
        </w:rPr>
        <w:t>Миньковская</w:t>
      </w:r>
      <w:proofErr w:type="spellEnd"/>
      <w:r w:rsidRPr="00AF7348">
        <w:rPr>
          <w:rFonts w:ascii="Times New Roman" w:hAnsi="Times New Roman"/>
          <w:sz w:val="28"/>
          <w:szCs w:val="28"/>
        </w:rPr>
        <w:t xml:space="preserve"> СШ им. П.И. Беляева» и МБОУ «</w:t>
      </w:r>
      <w:proofErr w:type="spellStart"/>
      <w:r w:rsidRPr="00AF7348">
        <w:rPr>
          <w:rFonts w:ascii="Times New Roman" w:hAnsi="Times New Roman"/>
          <w:sz w:val="28"/>
          <w:szCs w:val="28"/>
        </w:rPr>
        <w:t>Рослятинская</w:t>
      </w:r>
      <w:proofErr w:type="spellEnd"/>
      <w:r w:rsidRPr="00AF7348">
        <w:rPr>
          <w:rFonts w:ascii="Times New Roman" w:hAnsi="Times New Roman"/>
          <w:sz w:val="28"/>
          <w:szCs w:val="28"/>
        </w:rPr>
        <w:t xml:space="preserve"> СОШ» созданы Центры образования естественно-научной и технологической направленностей «Точка роста», израсходовано 3</w:t>
      </w:r>
      <w:r>
        <w:rPr>
          <w:rFonts w:ascii="Times New Roman" w:hAnsi="Times New Roman"/>
          <w:sz w:val="28"/>
          <w:szCs w:val="28"/>
        </w:rPr>
        <w:t> </w:t>
      </w:r>
      <w:r w:rsidRPr="00AF7348">
        <w:rPr>
          <w:rFonts w:ascii="Times New Roman" w:hAnsi="Times New Roman"/>
          <w:sz w:val="28"/>
          <w:szCs w:val="28"/>
        </w:rPr>
        <w:t>135</w:t>
      </w:r>
      <w:r>
        <w:rPr>
          <w:rFonts w:ascii="Times New Roman" w:hAnsi="Times New Roman"/>
          <w:sz w:val="28"/>
          <w:szCs w:val="28"/>
        </w:rPr>
        <w:t>,</w:t>
      </w:r>
      <w:r w:rsidRPr="00AF7348">
        <w:rPr>
          <w:rFonts w:ascii="Times New Roman" w:hAnsi="Times New Roman"/>
          <w:sz w:val="28"/>
          <w:szCs w:val="28"/>
        </w:rPr>
        <w:t> 09</w:t>
      </w:r>
      <w:r>
        <w:rPr>
          <w:rFonts w:ascii="Times New Roman" w:hAnsi="Times New Roman"/>
          <w:sz w:val="28"/>
          <w:szCs w:val="28"/>
        </w:rPr>
        <w:t xml:space="preserve"> тыс.</w:t>
      </w:r>
      <w:r w:rsidRPr="00AF7348">
        <w:rPr>
          <w:rFonts w:ascii="Times New Roman" w:hAnsi="Times New Roman"/>
          <w:sz w:val="28"/>
          <w:szCs w:val="28"/>
        </w:rPr>
        <w:t>  рублей за счет федерального и областного бюджетов. В МБОУ «Бабушкинская СШ» реализован региональный проект «Цифровая образовательная среда», израсходован</w:t>
      </w:r>
      <w:r>
        <w:rPr>
          <w:rFonts w:ascii="Times New Roman" w:hAnsi="Times New Roman"/>
          <w:sz w:val="28"/>
          <w:szCs w:val="28"/>
        </w:rPr>
        <w:t>о</w:t>
      </w:r>
      <w:r w:rsidRPr="00AF7348">
        <w:rPr>
          <w:rFonts w:ascii="Times New Roman" w:hAnsi="Times New Roman"/>
          <w:sz w:val="28"/>
          <w:szCs w:val="28"/>
        </w:rPr>
        <w:t xml:space="preserve"> 1</w:t>
      </w:r>
      <w:r>
        <w:rPr>
          <w:rFonts w:ascii="Times New Roman" w:hAnsi="Times New Roman"/>
          <w:sz w:val="28"/>
          <w:szCs w:val="28"/>
        </w:rPr>
        <w:t> </w:t>
      </w:r>
      <w:r w:rsidRPr="00AF7348">
        <w:rPr>
          <w:rFonts w:ascii="Times New Roman" w:hAnsi="Times New Roman"/>
          <w:sz w:val="28"/>
          <w:szCs w:val="28"/>
        </w:rPr>
        <w:t>580</w:t>
      </w:r>
      <w:r>
        <w:rPr>
          <w:rFonts w:ascii="Times New Roman" w:hAnsi="Times New Roman"/>
          <w:sz w:val="28"/>
          <w:szCs w:val="28"/>
        </w:rPr>
        <w:t>,</w:t>
      </w:r>
      <w:r w:rsidRPr="00AF7348">
        <w:rPr>
          <w:rFonts w:ascii="Times New Roman" w:hAnsi="Times New Roman"/>
          <w:sz w:val="28"/>
          <w:szCs w:val="28"/>
        </w:rPr>
        <w:t> 85</w:t>
      </w:r>
      <w:r>
        <w:rPr>
          <w:rFonts w:ascii="Times New Roman" w:hAnsi="Times New Roman"/>
          <w:sz w:val="28"/>
          <w:szCs w:val="28"/>
        </w:rPr>
        <w:t xml:space="preserve"> тыс.</w:t>
      </w:r>
      <w:r w:rsidRPr="00AF7348">
        <w:rPr>
          <w:rFonts w:ascii="Times New Roman" w:hAnsi="Times New Roman"/>
          <w:sz w:val="28"/>
          <w:szCs w:val="28"/>
        </w:rPr>
        <w:t xml:space="preserve">  рублей за счет федерального и областного бюджетов.</w:t>
      </w:r>
    </w:p>
    <w:p w:rsidR="001954FB" w:rsidRPr="00AF7348" w:rsidRDefault="001954FB" w:rsidP="001954FB">
      <w:pPr>
        <w:spacing w:after="0" w:line="240" w:lineRule="auto"/>
        <w:ind w:firstLine="567"/>
        <w:jc w:val="both"/>
        <w:rPr>
          <w:rFonts w:ascii="Times New Roman" w:hAnsi="Times New Roman"/>
          <w:sz w:val="28"/>
          <w:szCs w:val="28"/>
        </w:rPr>
      </w:pPr>
      <w:r w:rsidRPr="00AF7348">
        <w:rPr>
          <w:rFonts w:ascii="Times New Roman" w:hAnsi="Times New Roman"/>
          <w:sz w:val="28"/>
          <w:szCs w:val="28"/>
        </w:rPr>
        <w:t>В рамках реализации регионального проекта «Патриотическое воспитание граждан Российской Федерации» во все школы района поставлена государственная символика Российской Федерации</w:t>
      </w:r>
    </w:p>
    <w:p w:rsidR="001954FB" w:rsidRPr="00AF7348" w:rsidRDefault="001954FB" w:rsidP="001954FB">
      <w:pPr>
        <w:spacing w:after="0" w:line="240" w:lineRule="auto"/>
        <w:ind w:firstLine="567"/>
        <w:jc w:val="both"/>
        <w:rPr>
          <w:rFonts w:ascii="Times New Roman" w:hAnsi="Times New Roman"/>
          <w:sz w:val="28"/>
          <w:szCs w:val="28"/>
        </w:rPr>
      </w:pPr>
      <w:r w:rsidRPr="00AF7348">
        <w:rPr>
          <w:rFonts w:ascii="Times New Roman" w:hAnsi="Times New Roman"/>
          <w:sz w:val="28"/>
          <w:szCs w:val="28"/>
        </w:rPr>
        <w:t>Из  бюджета района было выделено более 11  миллионов  рублей на  подготовку учреждений к новому учебному году  и приобретение учебной мебели.</w:t>
      </w:r>
    </w:p>
    <w:p w:rsidR="001954FB" w:rsidRPr="00AF7348" w:rsidRDefault="001954FB" w:rsidP="001954FB">
      <w:pPr>
        <w:spacing w:after="0" w:line="240" w:lineRule="auto"/>
        <w:ind w:firstLine="567"/>
        <w:jc w:val="both"/>
        <w:rPr>
          <w:rFonts w:ascii="Times New Roman" w:hAnsi="Times New Roman"/>
          <w:sz w:val="28"/>
          <w:szCs w:val="28"/>
        </w:rPr>
      </w:pPr>
      <w:r w:rsidRPr="00AF7348">
        <w:rPr>
          <w:rFonts w:ascii="Times New Roman" w:hAnsi="Times New Roman"/>
          <w:sz w:val="28"/>
          <w:szCs w:val="28"/>
        </w:rPr>
        <w:t>На эти средства отремонтирован</w:t>
      </w:r>
      <w:r>
        <w:rPr>
          <w:rFonts w:ascii="Times New Roman" w:hAnsi="Times New Roman"/>
          <w:sz w:val="28"/>
          <w:szCs w:val="28"/>
        </w:rPr>
        <w:t>ы:</w:t>
      </w:r>
      <w:r w:rsidRPr="00AF7348">
        <w:rPr>
          <w:rFonts w:ascii="Times New Roman" w:hAnsi="Times New Roman"/>
          <w:sz w:val="28"/>
          <w:szCs w:val="28"/>
        </w:rPr>
        <w:t xml:space="preserve"> учебный кабинет в МБОУ «</w:t>
      </w:r>
      <w:proofErr w:type="spellStart"/>
      <w:r w:rsidRPr="00AF7348">
        <w:rPr>
          <w:rFonts w:ascii="Times New Roman" w:hAnsi="Times New Roman"/>
          <w:sz w:val="28"/>
          <w:szCs w:val="28"/>
        </w:rPr>
        <w:t>Подболотная</w:t>
      </w:r>
      <w:proofErr w:type="spellEnd"/>
      <w:r w:rsidRPr="00AF7348">
        <w:rPr>
          <w:rFonts w:ascii="Times New Roman" w:hAnsi="Times New Roman"/>
          <w:sz w:val="28"/>
          <w:szCs w:val="28"/>
        </w:rPr>
        <w:t xml:space="preserve"> СОШ» и спортивный зал, музей и сенсорная комната   в МБОУ «</w:t>
      </w:r>
      <w:proofErr w:type="spellStart"/>
      <w:r w:rsidRPr="00AF7348">
        <w:rPr>
          <w:rFonts w:ascii="Times New Roman" w:hAnsi="Times New Roman"/>
          <w:sz w:val="28"/>
          <w:szCs w:val="28"/>
        </w:rPr>
        <w:t>Рослятинская</w:t>
      </w:r>
      <w:proofErr w:type="spellEnd"/>
      <w:r w:rsidRPr="00AF7348">
        <w:rPr>
          <w:rFonts w:ascii="Times New Roman" w:hAnsi="Times New Roman"/>
          <w:sz w:val="28"/>
          <w:szCs w:val="28"/>
        </w:rPr>
        <w:t xml:space="preserve"> СОШ», 2 учебных кабинета в МБОУ «</w:t>
      </w:r>
      <w:proofErr w:type="spellStart"/>
      <w:r w:rsidRPr="00AF7348">
        <w:rPr>
          <w:rFonts w:ascii="Times New Roman" w:hAnsi="Times New Roman"/>
          <w:sz w:val="28"/>
          <w:szCs w:val="28"/>
        </w:rPr>
        <w:t>Миньковская</w:t>
      </w:r>
      <w:proofErr w:type="spellEnd"/>
      <w:r w:rsidRPr="00AF7348">
        <w:rPr>
          <w:rFonts w:ascii="Times New Roman" w:hAnsi="Times New Roman"/>
          <w:sz w:val="28"/>
          <w:szCs w:val="28"/>
        </w:rPr>
        <w:t xml:space="preserve"> СШ им. П.И. Беляева» (под размещение образовательного центра «Точка роста»), проведен ремонт крыльца МБОУ «Бабушкинская СШ», завершен ремонт учебных помещений в МБОУ «</w:t>
      </w:r>
      <w:proofErr w:type="spellStart"/>
      <w:r w:rsidRPr="00AF7348">
        <w:rPr>
          <w:rFonts w:ascii="Times New Roman" w:hAnsi="Times New Roman"/>
          <w:sz w:val="28"/>
          <w:szCs w:val="28"/>
        </w:rPr>
        <w:t>Зайчиковская</w:t>
      </w:r>
      <w:proofErr w:type="spellEnd"/>
      <w:r w:rsidRPr="00AF7348">
        <w:rPr>
          <w:rFonts w:ascii="Times New Roman" w:hAnsi="Times New Roman"/>
          <w:sz w:val="28"/>
          <w:szCs w:val="28"/>
        </w:rPr>
        <w:t xml:space="preserve"> ОШ» и др. Во всех организациях образования проведен косметический ремонт.</w:t>
      </w:r>
    </w:p>
    <w:p w:rsidR="001954FB" w:rsidRDefault="001954FB" w:rsidP="001954FB">
      <w:pPr>
        <w:spacing w:after="0" w:line="240" w:lineRule="auto"/>
        <w:ind w:firstLine="425"/>
        <w:jc w:val="both"/>
        <w:rPr>
          <w:rFonts w:ascii="Times New Roman" w:hAnsi="Times New Roman"/>
          <w:sz w:val="28"/>
          <w:szCs w:val="28"/>
          <w:shd w:val="clear" w:color="auto" w:fill="FFFFFF"/>
        </w:rPr>
      </w:pPr>
      <w:r w:rsidRPr="00287BD1">
        <w:rPr>
          <w:rFonts w:ascii="Times New Roman" w:hAnsi="Times New Roman"/>
          <w:sz w:val="28"/>
          <w:szCs w:val="28"/>
          <w:shd w:val="clear" w:color="auto" w:fill="FFFFFF"/>
        </w:rPr>
        <w:t>В результате реализации национального проекта, исполнения решений градостроительных советов под председательством Губернатора области О.А.Кувшинникова созданы условия для получения доступного и качественного образования для 100% школьников, обеспечена доступность к цифровым ресурсам для 100% обучающихся, введены 5 ставок советников по воспитанию в образовательных организациях, 100% школ оснащены государственными символами.</w:t>
      </w:r>
    </w:p>
    <w:p w:rsidR="00726CE6" w:rsidRPr="00430404" w:rsidRDefault="00726CE6" w:rsidP="001954FB">
      <w:pPr>
        <w:spacing w:after="0" w:line="240" w:lineRule="auto"/>
        <w:ind w:firstLine="567"/>
        <w:jc w:val="both"/>
        <w:rPr>
          <w:rFonts w:ascii="Times New Roman" w:eastAsia="Times New Roman" w:hAnsi="Times New Roman"/>
          <w:b/>
          <w:bCs/>
          <w:sz w:val="28"/>
          <w:szCs w:val="28"/>
        </w:rPr>
      </w:pPr>
      <w:r w:rsidRPr="00430404">
        <w:rPr>
          <w:rFonts w:ascii="Times New Roman" w:eastAsia="Times New Roman" w:hAnsi="Times New Roman"/>
          <w:b/>
          <w:bCs/>
          <w:sz w:val="28"/>
          <w:szCs w:val="28"/>
        </w:rPr>
        <w:t>З</w:t>
      </w:r>
      <w:r w:rsidR="00EA0E85">
        <w:rPr>
          <w:rFonts w:ascii="Times New Roman" w:eastAsia="Times New Roman" w:hAnsi="Times New Roman"/>
          <w:b/>
          <w:bCs/>
          <w:sz w:val="28"/>
          <w:szCs w:val="28"/>
        </w:rPr>
        <w:t>дравоохранение</w:t>
      </w:r>
    </w:p>
    <w:p w:rsidR="001954FB" w:rsidRPr="00287BD1" w:rsidRDefault="001954FB" w:rsidP="001954FB">
      <w:pPr>
        <w:spacing w:after="0" w:line="240" w:lineRule="auto"/>
        <w:ind w:firstLine="708"/>
        <w:jc w:val="both"/>
        <w:rPr>
          <w:rFonts w:ascii="Times New Roman" w:hAnsi="Times New Roman"/>
          <w:sz w:val="28"/>
          <w:szCs w:val="28"/>
          <w:highlight w:val="yellow"/>
        </w:rPr>
      </w:pPr>
      <w:bookmarkStart w:id="8" w:name="_Toc440378736"/>
      <w:bookmarkStart w:id="9" w:name="_Toc378672928"/>
      <w:bookmarkEnd w:id="7"/>
      <w:r w:rsidRPr="00287BD1">
        <w:rPr>
          <w:rFonts w:ascii="Times New Roman" w:hAnsi="Times New Roman"/>
          <w:sz w:val="28"/>
          <w:szCs w:val="28"/>
        </w:rPr>
        <w:t xml:space="preserve">Первичную медико-санитарную, специализированную и скорую медицинскую помощь в </w:t>
      </w:r>
      <w:r>
        <w:rPr>
          <w:rFonts w:ascii="Times New Roman" w:hAnsi="Times New Roman"/>
          <w:sz w:val="28"/>
          <w:szCs w:val="28"/>
        </w:rPr>
        <w:t xml:space="preserve">округе </w:t>
      </w:r>
      <w:r w:rsidRPr="00287BD1">
        <w:rPr>
          <w:rFonts w:ascii="Times New Roman" w:hAnsi="Times New Roman"/>
          <w:sz w:val="28"/>
          <w:szCs w:val="28"/>
        </w:rPr>
        <w:t>оказывает БУЗ ВО «Бабушкинская ЦРБ». В структуру учреждения входит: поликлиника, 2 врачебных амбулатории, 15 фельдшерско-акушерских пунктов, стационарные отделения и отделение скорой медицинской помощи.</w:t>
      </w:r>
    </w:p>
    <w:p w:rsidR="001954FB" w:rsidRPr="00287BD1" w:rsidRDefault="001954FB" w:rsidP="001954FB">
      <w:pPr>
        <w:spacing w:after="0" w:line="240" w:lineRule="auto"/>
        <w:ind w:firstLine="708"/>
        <w:jc w:val="both"/>
        <w:rPr>
          <w:rFonts w:ascii="Times New Roman" w:hAnsi="Times New Roman"/>
          <w:sz w:val="28"/>
          <w:szCs w:val="28"/>
        </w:rPr>
      </w:pPr>
      <w:r w:rsidRPr="00287BD1">
        <w:rPr>
          <w:rFonts w:ascii="Times New Roman" w:hAnsi="Times New Roman"/>
          <w:sz w:val="28"/>
          <w:szCs w:val="28"/>
        </w:rPr>
        <w:t xml:space="preserve">Мощность амбулаторно-поликлинических учреждений составляет 212 посещений в смену.  Коечный фонд составляет 50 коек круглосуточного пребывания и 12 коек дневного стационара.  </w:t>
      </w:r>
    </w:p>
    <w:p w:rsidR="001954FB" w:rsidRPr="00287BD1" w:rsidRDefault="001954FB" w:rsidP="001954FB">
      <w:pPr>
        <w:spacing w:after="0" w:line="240" w:lineRule="auto"/>
        <w:ind w:firstLine="708"/>
        <w:jc w:val="both"/>
        <w:rPr>
          <w:rFonts w:ascii="Times New Roman" w:hAnsi="Times New Roman"/>
          <w:sz w:val="28"/>
          <w:szCs w:val="28"/>
        </w:rPr>
      </w:pPr>
      <w:r w:rsidRPr="00287BD1">
        <w:rPr>
          <w:rFonts w:ascii="Times New Roman" w:hAnsi="Times New Roman"/>
          <w:sz w:val="28"/>
          <w:szCs w:val="28"/>
        </w:rPr>
        <w:lastRenderedPageBreak/>
        <w:t xml:space="preserve">В настоящее время в учреждении работает 169 человек, из них 16 врачей и 81 специалист среднего медицинского персонала. Укомплектованность штатных врачебных должностей составляет 53,3 %, среднего медперсонала 81,1 %. </w:t>
      </w:r>
    </w:p>
    <w:p w:rsidR="001954FB" w:rsidRPr="00287BD1" w:rsidRDefault="001954FB" w:rsidP="001954FB">
      <w:pPr>
        <w:spacing w:after="0" w:line="240" w:lineRule="auto"/>
        <w:ind w:firstLine="708"/>
        <w:jc w:val="both"/>
        <w:rPr>
          <w:rFonts w:ascii="Times New Roman" w:hAnsi="Times New Roman"/>
          <w:sz w:val="28"/>
          <w:szCs w:val="28"/>
        </w:rPr>
      </w:pPr>
      <w:r w:rsidRPr="00287BD1">
        <w:rPr>
          <w:rFonts w:ascii="Times New Roman" w:hAnsi="Times New Roman"/>
          <w:sz w:val="28"/>
          <w:szCs w:val="28"/>
        </w:rPr>
        <w:t>За последний год численность врачей не изменилась.</w:t>
      </w:r>
      <w:r>
        <w:rPr>
          <w:rFonts w:ascii="Times New Roman" w:hAnsi="Times New Roman"/>
          <w:sz w:val="28"/>
          <w:szCs w:val="28"/>
        </w:rPr>
        <w:t xml:space="preserve"> </w:t>
      </w:r>
      <w:r w:rsidRPr="00287BD1">
        <w:rPr>
          <w:rFonts w:ascii="Times New Roman" w:hAnsi="Times New Roman"/>
          <w:sz w:val="28"/>
          <w:szCs w:val="28"/>
        </w:rPr>
        <w:t>Численность среднего медперсонала уменьшилась на 2 единицы</w:t>
      </w:r>
      <w:r>
        <w:rPr>
          <w:rFonts w:ascii="Times New Roman" w:hAnsi="Times New Roman"/>
          <w:sz w:val="28"/>
          <w:szCs w:val="28"/>
        </w:rPr>
        <w:t xml:space="preserve"> в связи с выходом специалистов на заслуженный отдых.</w:t>
      </w:r>
    </w:p>
    <w:p w:rsidR="001954FB" w:rsidRPr="00287BD1" w:rsidRDefault="001954FB" w:rsidP="001954FB">
      <w:pPr>
        <w:spacing w:after="0" w:line="240" w:lineRule="auto"/>
        <w:jc w:val="both"/>
        <w:rPr>
          <w:rFonts w:ascii="Times New Roman" w:hAnsi="Times New Roman"/>
          <w:sz w:val="28"/>
          <w:szCs w:val="28"/>
        </w:rPr>
      </w:pPr>
      <w:r w:rsidRPr="00287BD1">
        <w:rPr>
          <w:rFonts w:ascii="Times New Roman" w:hAnsi="Times New Roman"/>
          <w:sz w:val="28"/>
          <w:szCs w:val="28"/>
        </w:rPr>
        <w:tab/>
        <w:t>За 2022 год на укрепление материально технической базы использовано 12539,4 тыс. руб., в том числе поступило оборудование, автотранспорт для БУЗ ВО «Бабушкинская ЦРБ».</w:t>
      </w:r>
    </w:p>
    <w:p w:rsidR="00726CE6" w:rsidRPr="00090EE2" w:rsidRDefault="00726CE6" w:rsidP="00EF1B98">
      <w:pPr>
        <w:pStyle w:val="1"/>
        <w:spacing w:before="0" w:line="240" w:lineRule="auto"/>
        <w:ind w:firstLine="708"/>
        <w:rPr>
          <w:rFonts w:ascii="Times New Roman" w:hAnsi="Times New Roman"/>
          <w:color w:val="auto"/>
        </w:rPr>
      </w:pPr>
      <w:r w:rsidRPr="00090EE2">
        <w:rPr>
          <w:rFonts w:ascii="Times New Roman" w:hAnsi="Times New Roman"/>
          <w:color w:val="auto"/>
        </w:rPr>
        <w:t xml:space="preserve">Культура   </w:t>
      </w:r>
    </w:p>
    <w:bookmarkEnd w:id="8"/>
    <w:p w:rsidR="00EF1B98" w:rsidRPr="00287BD1" w:rsidRDefault="00C34110" w:rsidP="00EF1B98">
      <w:pPr>
        <w:spacing w:after="0" w:line="240" w:lineRule="auto"/>
        <w:ind w:firstLine="708"/>
        <w:jc w:val="both"/>
        <w:rPr>
          <w:rFonts w:ascii="Times New Roman" w:hAnsi="Times New Roman"/>
          <w:sz w:val="28"/>
          <w:szCs w:val="28"/>
        </w:rPr>
      </w:pPr>
      <w:r w:rsidRPr="00CA720A">
        <w:rPr>
          <w:rFonts w:ascii="Times New Roman" w:eastAsia="Times New Roman" w:hAnsi="Times New Roman"/>
          <w:iCs/>
          <w:sz w:val="28"/>
          <w:szCs w:val="28"/>
          <w:lang w:eastAsia="ru-RU"/>
        </w:rPr>
        <w:t xml:space="preserve">В </w:t>
      </w:r>
      <w:r w:rsidR="00EF1B98" w:rsidRPr="00287BD1">
        <w:rPr>
          <w:rFonts w:ascii="Times New Roman" w:hAnsi="Times New Roman"/>
          <w:sz w:val="28"/>
          <w:szCs w:val="28"/>
        </w:rPr>
        <w:t xml:space="preserve">Культура </w:t>
      </w:r>
      <w:r w:rsidR="00EF1B98">
        <w:rPr>
          <w:rFonts w:ascii="Times New Roman" w:hAnsi="Times New Roman"/>
          <w:sz w:val="28"/>
          <w:szCs w:val="28"/>
        </w:rPr>
        <w:t>округа</w:t>
      </w:r>
      <w:r w:rsidR="00EF1B98" w:rsidRPr="00287BD1">
        <w:rPr>
          <w:rFonts w:ascii="Times New Roman" w:hAnsi="Times New Roman"/>
          <w:sz w:val="28"/>
          <w:szCs w:val="28"/>
        </w:rPr>
        <w:t xml:space="preserve"> - уникальный ресурс, способствующий созданию привлекательного имиджа муниципального образования, формированию комфортной социальной среды, раскрытию туристского потенциала </w:t>
      </w:r>
      <w:r w:rsidR="00EF1B98">
        <w:rPr>
          <w:rFonts w:ascii="Times New Roman" w:hAnsi="Times New Roman"/>
          <w:sz w:val="28"/>
          <w:szCs w:val="28"/>
        </w:rPr>
        <w:t>округа</w:t>
      </w:r>
      <w:r w:rsidR="00EF1B98" w:rsidRPr="00287BD1">
        <w:rPr>
          <w:rFonts w:ascii="Times New Roman" w:hAnsi="Times New Roman"/>
          <w:sz w:val="28"/>
          <w:szCs w:val="28"/>
        </w:rPr>
        <w:t xml:space="preserve"> и развитию межрегионального сотрудничества. В 2022 году реализуется муниципальная программа «Сохранение и развитие культурного и туристского потенциала Бабушкинского муниципального района на 2022 – 2026 годы».</w:t>
      </w:r>
    </w:p>
    <w:p w:rsidR="00EF1B98" w:rsidRDefault="00EF1B98" w:rsidP="00EF1B98">
      <w:pPr>
        <w:spacing w:after="0" w:line="240" w:lineRule="auto"/>
        <w:ind w:firstLine="567"/>
        <w:jc w:val="both"/>
        <w:rPr>
          <w:rFonts w:ascii="Times New Roman" w:eastAsia="Times New Roman" w:hAnsi="Times New Roman"/>
          <w:spacing w:val="1"/>
          <w:sz w:val="28"/>
          <w:szCs w:val="28"/>
          <w:lang w:eastAsia="ru-RU"/>
        </w:rPr>
      </w:pPr>
      <w:r w:rsidRPr="00287BD1">
        <w:rPr>
          <w:rFonts w:ascii="Times New Roman" w:eastAsia="Times New Roman" w:hAnsi="Times New Roman"/>
          <w:spacing w:val="1"/>
          <w:sz w:val="28"/>
          <w:szCs w:val="28"/>
          <w:lang w:eastAsia="ru-RU"/>
        </w:rPr>
        <w:t>Цель реализации муниципальной программы: Сохранение и развитие культурного потенциала, оказание качественных услуг в сфере культуры, повышение их доступности для населения Бабушкинского муниципального района, создание благоприятных условий для укрепления единого культурного пространства, увеличение объёмов и видов оказания туристских услуг.</w:t>
      </w:r>
    </w:p>
    <w:p w:rsidR="00EF1B98" w:rsidRPr="005E7972" w:rsidRDefault="00EF1B98" w:rsidP="00EF1B98">
      <w:pPr>
        <w:shd w:val="clear" w:color="auto" w:fill="FFFFFF"/>
        <w:spacing w:after="45" w:line="270" w:lineRule="atLeast"/>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 состоянию н</w:t>
      </w:r>
      <w:r w:rsidRPr="005E7972">
        <w:rPr>
          <w:rFonts w:ascii="Times New Roman" w:eastAsia="Times New Roman" w:hAnsi="Times New Roman"/>
          <w:color w:val="000000"/>
          <w:sz w:val="28"/>
          <w:szCs w:val="28"/>
          <w:lang w:eastAsia="ru-RU"/>
        </w:rPr>
        <w:t>а 31.12.2022 года сеть учреждений культуры района включает в себя: МБУК «Бабушкинский районный исторический музей»</w:t>
      </w:r>
      <w:r>
        <w:rPr>
          <w:rFonts w:ascii="Times New Roman" w:eastAsia="Times New Roman" w:hAnsi="Times New Roman"/>
          <w:color w:val="000000"/>
          <w:sz w:val="28"/>
          <w:szCs w:val="28"/>
          <w:lang w:eastAsia="ru-RU"/>
        </w:rPr>
        <w:t xml:space="preserve"> (среднесписочная численность работников 2,5 чел.)</w:t>
      </w:r>
      <w:r w:rsidRPr="005E7972">
        <w:rPr>
          <w:rFonts w:ascii="Times New Roman" w:eastAsia="Times New Roman" w:hAnsi="Times New Roman"/>
          <w:color w:val="000000"/>
          <w:sz w:val="28"/>
          <w:szCs w:val="28"/>
          <w:lang w:eastAsia="ru-RU"/>
        </w:rPr>
        <w:t>, МБУ ДО «Бабушкинская детская музыкальная школа»</w:t>
      </w:r>
      <w:r>
        <w:rPr>
          <w:rFonts w:ascii="Times New Roman" w:eastAsia="Times New Roman" w:hAnsi="Times New Roman"/>
          <w:color w:val="000000"/>
          <w:sz w:val="28"/>
          <w:szCs w:val="28"/>
          <w:lang w:eastAsia="ru-RU"/>
        </w:rPr>
        <w:t xml:space="preserve"> (среднесписочная численность работников 2 чел.)</w:t>
      </w:r>
      <w:r w:rsidRPr="005E7972">
        <w:rPr>
          <w:rFonts w:ascii="Times New Roman" w:eastAsia="Times New Roman" w:hAnsi="Times New Roman"/>
          <w:color w:val="000000"/>
          <w:sz w:val="28"/>
          <w:szCs w:val="28"/>
          <w:lang w:eastAsia="ru-RU"/>
        </w:rPr>
        <w:t>, МБУК «Районный Дом культуры» с 6 филиалами (</w:t>
      </w:r>
      <w:proofErr w:type="spellStart"/>
      <w:r w:rsidRPr="005E7972">
        <w:rPr>
          <w:rFonts w:ascii="Times New Roman" w:eastAsia="Times New Roman" w:hAnsi="Times New Roman"/>
          <w:color w:val="000000"/>
          <w:sz w:val="28"/>
          <w:szCs w:val="28"/>
          <w:lang w:eastAsia="ru-RU"/>
        </w:rPr>
        <w:t>Миньковский</w:t>
      </w:r>
      <w:proofErr w:type="spellEnd"/>
      <w:r w:rsidRPr="005E7972">
        <w:rPr>
          <w:rFonts w:ascii="Times New Roman" w:eastAsia="Times New Roman" w:hAnsi="Times New Roman"/>
          <w:color w:val="000000"/>
          <w:sz w:val="28"/>
          <w:szCs w:val="28"/>
          <w:lang w:eastAsia="ru-RU"/>
        </w:rPr>
        <w:t xml:space="preserve"> сельский филиал МБУК «РДК», </w:t>
      </w:r>
      <w:proofErr w:type="spellStart"/>
      <w:r w:rsidRPr="005E7972">
        <w:rPr>
          <w:rFonts w:ascii="Times New Roman" w:eastAsia="Times New Roman" w:hAnsi="Times New Roman"/>
          <w:color w:val="000000"/>
          <w:sz w:val="28"/>
          <w:szCs w:val="28"/>
          <w:lang w:eastAsia="ru-RU"/>
        </w:rPr>
        <w:t>Березниковский</w:t>
      </w:r>
      <w:proofErr w:type="spellEnd"/>
      <w:r w:rsidRPr="005E7972">
        <w:rPr>
          <w:rFonts w:ascii="Times New Roman" w:eastAsia="Times New Roman" w:hAnsi="Times New Roman"/>
          <w:color w:val="000000"/>
          <w:sz w:val="28"/>
          <w:szCs w:val="28"/>
          <w:lang w:eastAsia="ru-RU"/>
        </w:rPr>
        <w:t xml:space="preserve"> сельский филиал МБУК «РДК», </w:t>
      </w:r>
      <w:proofErr w:type="spellStart"/>
      <w:r w:rsidRPr="005E7972">
        <w:rPr>
          <w:rFonts w:ascii="Times New Roman" w:eastAsia="Times New Roman" w:hAnsi="Times New Roman"/>
          <w:color w:val="000000"/>
          <w:sz w:val="28"/>
          <w:szCs w:val="28"/>
          <w:lang w:eastAsia="ru-RU"/>
        </w:rPr>
        <w:t>Тимановский</w:t>
      </w:r>
      <w:proofErr w:type="spellEnd"/>
      <w:r w:rsidRPr="005E7972">
        <w:rPr>
          <w:rFonts w:ascii="Times New Roman" w:eastAsia="Times New Roman" w:hAnsi="Times New Roman"/>
          <w:color w:val="000000"/>
          <w:sz w:val="28"/>
          <w:szCs w:val="28"/>
          <w:lang w:eastAsia="ru-RU"/>
        </w:rPr>
        <w:t xml:space="preserve"> сельский филиал МБУК «РДК», </w:t>
      </w:r>
      <w:proofErr w:type="spellStart"/>
      <w:r w:rsidRPr="005E7972">
        <w:rPr>
          <w:rFonts w:ascii="Times New Roman" w:eastAsia="Times New Roman" w:hAnsi="Times New Roman"/>
          <w:color w:val="000000"/>
          <w:sz w:val="28"/>
          <w:szCs w:val="28"/>
          <w:lang w:eastAsia="ru-RU"/>
        </w:rPr>
        <w:t>Рослятинский</w:t>
      </w:r>
      <w:proofErr w:type="spellEnd"/>
      <w:r w:rsidRPr="005E7972">
        <w:rPr>
          <w:rFonts w:ascii="Times New Roman" w:eastAsia="Times New Roman" w:hAnsi="Times New Roman"/>
          <w:color w:val="000000"/>
          <w:sz w:val="28"/>
          <w:szCs w:val="28"/>
          <w:lang w:eastAsia="ru-RU"/>
        </w:rPr>
        <w:t xml:space="preserve"> сельский филиал МБУК «РДК», </w:t>
      </w:r>
      <w:proofErr w:type="spellStart"/>
      <w:r w:rsidRPr="005E7972">
        <w:rPr>
          <w:rFonts w:ascii="Times New Roman" w:eastAsia="Times New Roman" w:hAnsi="Times New Roman"/>
          <w:color w:val="000000"/>
          <w:sz w:val="28"/>
          <w:szCs w:val="28"/>
          <w:lang w:eastAsia="ru-RU"/>
        </w:rPr>
        <w:t>Скоковский</w:t>
      </w:r>
      <w:proofErr w:type="spellEnd"/>
      <w:r w:rsidRPr="005E7972">
        <w:rPr>
          <w:rFonts w:ascii="Times New Roman" w:eastAsia="Times New Roman" w:hAnsi="Times New Roman"/>
          <w:color w:val="000000"/>
          <w:sz w:val="28"/>
          <w:szCs w:val="28"/>
          <w:lang w:eastAsia="ru-RU"/>
        </w:rPr>
        <w:t xml:space="preserve"> сельский филиал МБУК «РДК», </w:t>
      </w:r>
      <w:proofErr w:type="spellStart"/>
      <w:r w:rsidRPr="005E7972">
        <w:rPr>
          <w:rFonts w:ascii="Times New Roman" w:eastAsia="Times New Roman" w:hAnsi="Times New Roman"/>
          <w:color w:val="000000"/>
          <w:sz w:val="28"/>
          <w:szCs w:val="28"/>
          <w:lang w:eastAsia="ru-RU"/>
        </w:rPr>
        <w:t>Зайчиковский</w:t>
      </w:r>
      <w:proofErr w:type="spellEnd"/>
      <w:r w:rsidRPr="005E7972">
        <w:rPr>
          <w:rFonts w:ascii="Times New Roman" w:eastAsia="Times New Roman" w:hAnsi="Times New Roman"/>
          <w:color w:val="000000"/>
          <w:sz w:val="28"/>
          <w:szCs w:val="28"/>
          <w:lang w:eastAsia="ru-RU"/>
        </w:rPr>
        <w:t xml:space="preserve"> сельский филиал МБУК «РДК»)</w:t>
      </w:r>
      <w:r>
        <w:rPr>
          <w:rFonts w:ascii="Times New Roman" w:eastAsia="Times New Roman" w:hAnsi="Times New Roman"/>
          <w:color w:val="000000"/>
          <w:sz w:val="28"/>
          <w:szCs w:val="28"/>
          <w:lang w:eastAsia="ru-RU"/>
        </w:rPr>
        <w:t xml:space="preserve"> (среднесписочная численность 14,7 чел.)</w:t>
      </w:r>
      <w:r w:rsidRPr="005E7972">
        <w:rPr>
          <w:rFonts w:ascii="Times New Roman" w:eastAsia="Times New Roman" w:hAnsi="Times New Roman"/>
          <w:color w:val="000000"/>
          <w:sz w:val="28"/>
          <w:szCs w:val="28"/>
          <w:lang w:eastAsia="ru-RU"/>
        </w:rPr>
        <w:t xml:space="preserve">, МУК «Бабушкинская </w:t>
      </w:r>
      <w:proofErr w:type="spellStart"/>
      <w:r w:rsidRPr="005E7972">
        <w:rPr>
          <w:rFonts w:ascii="Times New Roman" w:eastAsia="Times New Roman" w:hAnsi="Times New Roman"/>
          <w:color w:val="000000"/>
          <w:sz w:val="28"/>
          <w:szCs w:val="28"/>
          <w:lang w:eastAsia="ru-RU"/>
        </w:rPr>
        <w:t>межпоселенческая</w:t>
      </w:r>
      <w:proofErr w:type="spellEnd"/>
      <w:r w:rsidRPr="005E7972">
        <w:rPr>
          <w:rFonts w:ascii="Times New Roman" w:eastAsia="Times New Roman" w:hAnsi="Times New Roman"/>
          <w:color w:val="000000"/>
          <w:sz w:val="28"/>
          <w:szCs w:val="28"/>
          <w:lang w:eastAsia="ru-RU"/>
        </w:rPr>
        <w:t xml:space="preserve"> централизованная библиотечная система», включающая Бабушкинскую центральную районную библиотеку с 5 филиалами (</w:t>
      </w:r>
      <w:proofErr w:type="spellStart"/>
      <w:r w:rsidRPr="005E7972">
        <w:rPr>
          <w:rFonts w:ascii="Times New Roman" w:eastAsia="Times New Roman" w:hAnsi="Times New Roman"/>
          <w:color w:val="000000"/>
          <w:sz w:val="28"/>
          <w:szCs w:val="28"/>
          <w:lang w:eastAsia="ru-RU"/>
        </w:rPr>
        <w:t>Рослятинский</w:t>
      </w:r>
      <w:proofErr w:type="spellEnd"/>
      <w:r w:rsidRPr="005E7972">
        <w:rPr>
          <w:rFonts w:ascii="Times New Roman" w:eastAsia="Times New Roman" w:hAnsi="Times New Roman"/>
          <w:color w:val="000000"/>
          <w:sz w:val="28"/>
          <w:szCs w:val="28"/>
          <w:lang w:eastAsia="ru-RU"/>
        </w:rPr>
        <w:t xml:space="preserve"> сельский филиал, </w:t>
      </w:r>
      <w:proofErr w:type="spellStart"/>
      <w:r w:rsidRPr="005E7972">
        <w:rPr>
          <w:rFonts w:ascii="Times New Roman" w:eastAsia="Times New Roman" w:hAnsi="Times New Roman"/>
          <w:color w:val="000000"/>
          <w:sz w:val="28"/>
          <w:szCs w:val="28"/>
          <w:lang w:eastAsia="ru-RU"/>
        </w:rPr>
        <w:t>Логдузский</w:t>
      </w:r>
      <w:proofErr w:type="spellEnd"/>
      <w:r w:rsidRPr="005E7972">
        <w:rPr>
          <w:rFonts w:ascii="Times New Roman" w:eastAsia="Times New Roman" w:hAnsi="Times New Roman"/>
          <w:color w:val="000000"/>
          <w:sz w:val="28"/>
          <w:szCs w:val="28"/>
          <w:lang w:eastAsia="ru-RU"/>
        </w:rPr>
        <w:t xml:space="preserve"> сельский филиал, </w:t>
      </w:r>
      <w:proofErr w:type="spellStart"/>
      <w:r w:rsidRPr="005E7972">
        <w:rPr>
          <w:rFonts w:ascii="Times New Roman" w:eastAsia="Times New Roman" w:hAnsi="Times New Roman"/>
          <w:color w:val="000000"/>
          <w:sz w:val="28"/>
          <w:szCs w:val="28"/>
          <w:lang w:eastAsia="ru-RU"/>
        </w:rPr>
        <w:t>Миньковский</w:t>
      </w:r>
      <w:proofErr w:type="spellEnd"/>
      <w:r w:rsidRPr="005E7972">
        <w:rPr>
          <w:rFonts w:ascii="Times New Roman" w:eastAsia="Times New Roman" w:hAnsi="Times New Roman"/>
          <w:color w:val="000000"/>
          <w:sz w:val="28"/>
          <w:szCs w:val="28"/>
          <w:lang w:eastAsia="ru-RU"/>
        </w:rPr>
        <w:t xml:space="preserve"> сельский филиал, </w:t>
      </w:r>
      <w:proofErr w:type="spellStart"/>
      <w:r w:rsidRPr="005E7972">
        <w:rPr>
          <w:rFonts w:ascii="Times New Roman" w:eastAsia="Times New Roman" w:hAnsi="Times New Roman"/>
          <w:color w:val="000000"/>
          <w:sz w:val="28"/>
          <w:szCs w:val="28"/>
          <w:lang w:eastAsia="ru-RU"/>
        </w:rPr>
        <w:t>Тимановский</w:t>
      </w:r>
      <w:proofErr w:type="spellEnd"/>
      <w:r w:rsidRPr="005E7972">
        <w:rPr>
          <w:rFonts w:ascii="Times New Roman" w:eastAsia="Times New Roman" w:hAnsi="Times New Roman"/>
          <w:color w:val="000000"/>
          <w:sz w:val="28"/>
          <w:szCs w:val="28"/>
          <w:lang w:eastAsia="ru-RU"/>
        </w:rPr>
        <w:t xml:space="preserve"> сельский филиал, </w:t>
      </w:r>
      <w:proofErr w:type="spellStart"/>
      <w:r w:rsidRPr="005E7972">
        <w:rPr>
          <w:rFonts w:ascii="Times New Roman" w:eastAsia="Times New Roman" w:hAnsi="Times New Roman"/>
          <w:color w:val="000000"/>
          <w:sz w:val="28"/>
          <w:szCs w:val="28"/>
          <w:lang w:eastAsia="ru-RU"/>
        </w:rPr>
        <w:t>Подболотный</w:t>
      </w:r>
      <w:proofErr w:type="spellEnd"/>
      <w:r w:rsidRPr="005E7972">
        <w:rPr>
          <w:rFonts w:ascii="Times New Roman" w:eastAsia="Times New Roman" w:hAnsi="Times New Roman"/>
          <w:color w:val="000000"/>
          <w:sz w:val="28"/>
          <w:szCs w:val="28"/>
          <w:lang w:eastAsia="ru-RU"/>
        </w:rPr>
        <w:t xml:space="preserve"> сельский филиал,) и 2 пунктами выдачи (пункт выдачи Зайчики, пункт выдачи Березники)</w:t>
      </w:r>
      <w:r>
        <w:rPr>
          <w:rFonts w:ascii="Times New Roman" w:eastAsia="Times New Roman" w:hAnsi="Times New Roman"/>
          <w:color w:val="000000"/>
          <w:sz w:val="28"/>
          <w:szCs w:val="28"/>
          <w:lang w:eastAsia="ru-RU"/>
        </w:rPr>
        <w:t xml:space="preserve"> среднесписочная численность 16 чел.</w:t>
      </w:r>
    </w:p>
    <w:p w:rsidR="00EF1B98" w:rsidRPr="00287BD1" w:rsidRDefault="00EF1B98" w:rsidP="00EF1B98">
      <w:pPr>
        <w:spacing w:after="0" w:line="240" w:lineRule="auto"/>
        <w:ind w:firstLine="567"/>
        <w:jc w:val="both"/>
        <w:rPr>
          <w:rFonts w:ascii="Times New Roman" w:hAnsi="Times New Roman"/>
          <w:sz w:val="28"/>
          <w:szCs w:val="28"/>
        </w:rPr>
      </w:pPr>
      <w:r>
        <w:rPr>
          <w:rFonts w:ascii="Times New Roman" w:hAnsi="Times New Roman"/>
          <w:sz w:val="28"/>
          <w:szCs w:val="28"/>
        </w:rPr>
        <w:t>В соответствии с «майскими» указами Президента с</w:t>
      </w:r>
      <w:r w:rsidRPr="00287BD1">
        <w:rPr>
          <w:rFonts w:ascii="Times New Roman" w:hAnsi="Times New Roman"/>
          <w:sz w:val="28"/>
          <w:szCs w:val="28"/>
        </w:rPr>
        <w:t>редняя заработная плата работников культуры составила – 46 482,00 руб. средняя заработная плата работников дополнительного образования в сфере культуры и искусства – 47 320,80 руб.</w:t>
      </w:r>
    </w:p>
    <w:p w:rsidR="00EF1B98" w:rsidRPr="00287BD1" w:rsidRDefault="00EF1B98" w:rsidP="00EF1B98">
      <w:pPr>
        <w:spacing w:after="0" w:line="240" w:lineRule="auto"/>
        <w:ind w:firstLine="708"/>
        <w:jc w:val="both"/>
        <w:rPr>
          <w:rFonts w:ascii="Times New Roman" w:hAnsi="Times New Roman"/>
          <w:sz w:val="28"/>
          <w:szCs w:val="28"/>
        </w:rPr>
      </w:pPr>
      <w:r w:rsidRPr="00287BD1">
        <w:rPr>
          <w:rFonts w:ascii="Times New Roman" w:hAnsi="Times New Roman"/>
          <w:sz w:val="28"/>
          <w:szCs w:val="28"/>
        </w:rPr>
        <w:t xml:space="preserve">В 2022 году продолжена реализация региональных проектов «Культурная среда» и «Творческие люди». </w:t>
      </w:r>
    </w:p>
    <w:p w:rsidR="00EF1B98" w:rsidRPr="00287BD1" w:rsidRDefault="00EF1B98" w:rsidP="00EF1B98">
      <w:pPr>
        <w:spacing w:after="0" w:line="240" w:lineRule="auto"/>
        <w:ind w:firstLine="708"/>
        <w:jc w:val="both"/>
        <w:rPr>
          <w:rFonts w:ascii="Times New Roman" w:hAnsi="Times New Roman"/>
          <w:sz w:val="28"/>
          <w:szCs w:val="28"/>
        </w:rPr>
      </w:pPr>
      <w:r w:rsidRPr="00287BD1">
        <w:rPr>
          <w:rFonts w:ascii="Times New Roman" w:hAnsi="Times New Roman"/>
          <w:sz w:val="28"/>
          <w:szCs w:val="28"/>
        </w:rPr>
        <w:t xml:space="preserve">В рамках реализации национального проекта «Творческие люди» государственная поддержка лучших сельских учреждений культуры предоставлена: </w:t>
      </w:r>
    </w:p>
    <w:p w:rsidR="00EF1B98" w:rsidRPr="00287BD1" w:rsidRDefault="00EF1B98" w:rsidP="00EF1B98">
      <w:pPr>
        <w:spacing w:after="0" w:line="240" w:lineRule="auto"/>
        <w:ind w:firstLine="708"/>
        <w:jc w:val="both"/>
        <w:rPr>
          <w:rFonts w:ascii="Times New Roman" w:hAnsi="Times New Roman"/>
          <w:sz w:val="28"/>
          <w:szCs w:val="28"/>
        </w:rPr>
      </w:pPr>
      <w:r w:rsidRPr="00287BD1">
        <w:rPr>
          <w:rFonts w:ascii="Times New Roman" w:hAnsi="Times New Roman"/>
          <w:sz w:val="28"/>
          <w:szCs w:val="28"/>
        </w:rPr>
        <w:t>МБУК «Районный Дом культуры» (104170 руб. приобретено оборудование) и МБУК «Бабушкинский исторический музей» (104 170 руб. приобретено мультимедийное оборудование);</w:t>
      </w:r>
    </w:p>
    <w:p w:rsidR="00EF1B98" w:rsidRDefault="00EF1B98" w:rsidP="00EF1B98">
      <w:pPr>
        <w:spacing w:after="0" w:line="240" w:lineRule="auto"/>
        <w:ind w:firstLine="708"/>
        <w:jc w:val="both"/>
        <w:rPr>
          <w:rFonts w:ascii="Times New Roman" w:hAnsi="Times New Roman"/>
          <w:sz w:val="28"/>
          <w:szCs w:val="28"/>
        </w:rPr>
      </w:pPr>
      <w:r w:rsidRPr="00287BD1">
        <w:rPr>
          <w:rFonts w:ascii="Times New Roman" w:hAnsi="Times New Roman"/>
          <w:sz w:val="28"/>
          <w:szCs w:val="28"/>
        </w:rPr>
        <w:lastRenderedPageBreak/>
        <w:t xml:space="preserve"> государственная поддержка лучших работников сельских учреждений культуры предоставлена </w:t>
      </w:r>
      <w:proofErr w:type="spellStart"/>
      <w:r w:rsidRPr="00287BD1">
        <w:rPr>
          <w:rFonts w:ascii="Times New Roman" w:hAnsi="Times New Roman"/>
          <w:sz w:val="28"/>
          <w:szCs w:val="28"/>
        </w:rPr>
        <w:t>Юниной</w:t>
      </w:r>
      <w:proofErr w:type="spellEnd"/>
      <w:r w:rsidRPr="00287BD1">
        <w:rPr>
          <w:rFonts w:ascii="Times New Roman" w:hAnsi="Times New Roman"/>
          <w:sz w:val="28"/>
          <w:szCs w:val="28"/>
        </w:rPr>
        <w:t xml:space="preserve"> Наталье Николаевне, хормейстеру МБУК «Районный Дом культуры» (52083,40 руб.). Итого  260423,4 рублей.</w:t>
      </w:r>
    </w:p>
    <w:p w:rsidR="00EF1B98" w:rsidRDefault="00EF1B98" w:rsidP="00EF1B98">
      <w:pPr>
        <w:spacing w:after="0"/>
        <w:ind w:firstLine="708"/>
        <w:jc w:val="both"/>
        <w:rPr>
          <w:rFonts w:ascii="Times New Roman" w:hAnsi="Times New Roman"/>
          <w:sz w:val="28"/>
          <w:szCs w:val="28"/>
        </w:rPr>
      </w:pPr>
      <w:r w:rsidRPr="002B7FD9">
        <w:rPr>
          <w:rFonts w:ascii="Times New Roman" w:hAnsi="Times New Roman"/>
          <w:sz w:val="28"/>
          <w:szCs w:val="28"/>
        </w:rPr>
        <w:t xml:space="preserve">В рамках </w:t>
      </w:r>
      <w:r w:rsidRPr="00327FED">
        <w:rPr>
          <w:rFonts w:ascii="Times New Roman" w:hAnsi="Times New Roman"/>
          <w:sz w:val="28"/>
          <w:szCs w:val="28"/>
        </w:rPr>
        <w:t xml:space="preserve">федерального проекта «Культурная среда» </w:t>
      </w:r>
      <w:r>
        <w:rPr>
          <w:rFonts w:ascii="Times New Roman" w:hAnsi="Times New Roman"/>
          <w:sz w:val="28"/>
          <w:szCs w:val="28"/>
        </w:rPr>
        <w:t xml:space="preserve">проведен </w:t>
      </w:r>
      <w:r w:rsidRPr="00F85BD7">
        <w:rPr>
          <w:rFonts w:ascii="Times New Roman" w:hAnsi="Times New Roman"/>
          <w:sz w:val="28"/>
          <w:szCs w:val="28"/>
        </w:rPr>
        <w:t xml:space="preserve">капитальный ремонт здания </w:t>
      </w:r>
      <w:proofErr w:type="spellStart"/>
      <w:r w:rsidRPr="00F85BD7">
        <w:rPr>
          <w:rFonts w:ascii="Times New Roman" w:hAnsi="Times New Roman"/>
          <w:sz w:val="28"/>
          <w:szCs w:val="28"/>
        </w:rPr>
        <w:t>Миньковский</w:t>
      </w:r>
      <w:proofErr w:type="spellEnd"/>
      <w:r w:rsidRPr="00F85BD7">
        <w:rPr>
          <w:rFonts w:ascii="Times New Roman" w:hAnsi="Times New Roman"/>
          <w:sz w:val="28"/>
          <w:szCs w:val="28"/>
        </w:rPr>
        <w:t xml:space="preserve"> сельский филиал МБУК «Районный Дом культуры».</w:t>
      </w:r>
      <w:r w:rsidRPr="002B7FD9">
        <w:rPr>
          <w:rFonts w:ascii="Times New Roman" w:hAnsi="Times New Roman"/>
          <w:sz w:val="28"/>
          <w:szCs w:val="28"/>
        </w:rPr>
        <w:t xml:space="preserve"> Объём финансирования составил 8</w:t>
      </w:r>
      <w:r>
        <w:rPr>
          <w:rFonts w:ascii="Times New Roman" w:hAnsi="Times New Roman"/>
          <w:sz w:val="28"/>
          <w:szCs w:val="28"/>
        </w:rPr>
        <w:t> 322, 85 тыс. рублей.</w:t>
      </w:r>
    </w:p>
    <w:p w:rsidR="00EF1B98" w:rsidRDefault="00EF1B98" w:rsidP="00EF1B98">
      <w:pPr>
        <w:spacing w:after="0" w:line="240" w:lineRule="auto"/>
        <w:ind w:firstLine="708"/>
        <w:jc w:val="both"/>
        <w:rPr>
          <w:rFonts w:ascii="Times New Roman" w:hAnsi="Times New Roman"/>
          <w:sz w:val="28"/>
          <w:szCs w:val="28"/>
        </w:rPr>
      </w:pPr>
      <w:r>
        <w:rPr>
          <w:rFonts w:ascii="Times New Roman" w:hAnsi="Times New Roman"/>
          <w:sz w:val="28"/>
          <w:szCs w:val="28"/>
        </w:rPr>
        <w:t>Проведены следующие р</w:t>
      </w:r>
      <w:r w:rsidRPr="002B7FD9">
        <w:rPr>
          <w:rFonts w:ascii="Times New Roman" w:hAnsi="Times New Roman"/>
          <w:sz w:val="28"/>
          <w:szCs w:val="28"/>
        </w:rPr>
        <w:t>емонтные работы: замена оконных и дверных проёмов, замена полов, выравнивание внутренних поверхностей, оштукатуривание и окраска стен, электромонтажные работы, обустройство пожарной сигнализации, установка вентиляционной системы, обустройство крыльца.</w:t>
      </w:r>
    </w:p>
    <w:p w:rsidR="00EF1B98" w:rsidRDefault="00EF1B98" w:rsidP="00EF1B98">
      <w:pPr>
        <w:spacing w:after="0" w:line="240" w:lineRule="auto"/>
        <w:ind w:firstLine="708"/>
        <w:jc w:val="both"/>
        <w:rPr>
          <w:rFonts w:ascii="Times New Roman" w:hAnsi="Times New Roman"/>
          <w:sz w:val="28"/>
          <w:szCs w:val="28"/>
        </w:rPr>
      </w:pPr>
      <w:r>
        <w:rPr>
          <w:rFonts w:ascii="Times New Roman" w:hAnsi="Times New Roman"/>
          <w:sz w:val="28"/>
          <w:szCs w:val="28"/>
        </w:rPr>
        <w:t>В рамках регионального проекта «Сельский дом культуры</w:t>
      </w:r>
      <w:r w:rsidRPr="002B7FD9">
        <w:rPr>
          <w:rFonts w:ascii="Times New Roman" w:hAnsi="Times New Roman"/>
          <w:sz w:val="28"/>
          <w:szCs w:val="28"/>
        </w:rPr>
        <w:t xml:space="preserve"> </w:t>
      </w:r>
      <w:r>
        <w:rPr>
          <w:rFonts w:ascii="Times New Roman" w:hAnsi="Times New Roman"/>
          <w:sz w:val="28"/>
          <w:szCs w:val="28"/>
        </w:rPr>
        <w:t xml:space="preserve">проведен </w:t>
      </w:r>
      <w:r w:rsidRPr="00F85BD7">
        <w:rPr>
          <w:rFonts w:ascii="Times New Roman" w:hAnsi="Times New Roman"/>
          <w:sz w:val="28"/>
          <w:szCs w:val="28"/>
        </w:rPr>
        <w:t xml:space="preserve">капитальный ремонт здания </w:t>
      </w:r>
      <w:proofErr w:type="spellStart"/>
      <w:r w:rsidRPr="00F85BD7">
        <w:rPr>
          <w:rFonts w:ascii="Times New Roman" w:hAnsi="Times New Roman"/>
          <w:sz w:val="28"/>
          <w:szCs w:val="28"/>
        </w:rPr>
        <w:t>Скоковский</w:t>
      </w:r>
      <w:proofErr w:type="spellEnd"/>
      <w:r w:rsidRPr="00F85BD7">
        <w:rPr>
          <w:rFonts w:ascii="Times New Roman" w:hAnsi="Times New Roman"/>
          <w:sz w:val="28"/>
          <w:szCs w:val="28"/>
        </w:rPr>
        <w:t xml:space="preserve"> сельский филиал МБУК «Районный Дом культуры».</w:t>
      </w:r>
      <w:r w:rsidRPr="002B7FD9">
        <w:rPr>
          <w:rFonts w:ascii="Times New Roman" w:hAnsi="Times New Roman"/>
          <w:sz w:val="28"/>
          <w:szCs w:val="28"/>
        </w:rPr>
        <w:t xml:space="preserve"> Общий объём средств составляет 9</w:t>
      </w:r>
      <w:r>
        <w:rPr>
          <w:rFonts w:ascii="Times New Roman" w:hAnsi="Times New Roman"/>
          <w:sz w:val="28"/>
          <w:szCs w:val="28"/>
        </w:rPr>
        <w:t> </w:t>
      </w:r>
      <w:r w:rsidRPr="002B7FD9">
        <w:rPr>
          <w:rFonts w:ascii="Times New Roman" w:hAnsi="Times New Roman"/>
          <w:sz w:val="28"/>
          <w:szCs w:val="28"/>
        </w:rPr>
        <w:t>523</w:t>
      </w:r>
      <w:r>
        <w:rPr>
          <w:rFonts w:ascii="Times New Roman" w:hAnsi="Times New Roman"/>
          <w:sz w:val="28"/>
          <w:szCs w:val="28"/>
        </w:rPr>
        <w:t>,</w:t>
      </w:r>
      <w:r w:rsidRPr="002B7FD9">
        <w:rPr>
          <w:rFonts w:ascii="Times New Roman" w:hAnsi="Times New Roman"/>
          <w:sz w:val="28"/>
          <w:szCs w:val="28"/>
        </w:rPr>
        <w:t> 04</w:t>
      </w:r>
      <w:r>
        <w:rPr>
          <w:rFonts w:ascii="Times New Roman" w:hAnsi="Times New Roman"/>
          <w:sz w:val="28"/>
          <w:szCs w:val="28"/>
        </w:rPr>
        <w:t xml:space="preserve"> тыс.</w:t>
      </w:r>
      <w:r w:rsidRPr="002B7FD9">
        <w:rPr>
          <w:rFonts w:ascii="Times New Roman" w:hAnsi="Times New Roman"/>
          <w:sz w:val="28"/>
          <w:szCs w:val="28"/>
        </w:rPr>
        <w:t xml:space="preserve"> руб.</w:t>
      </w:r>
      <w:r>
        <w:rPr>
          <w:rFonts w:ascii="Times New Roman" w:hAnsi="Times New Roman"/>
          <w:sz w:val="28"/>
          <w:szCs w:val="28"/>
        </w:rPr>
        <w:t xml:space="preserve"> Проведены</w:t>
      </w:r>
      <w:r w:rsidRPr="002B7FD9">
        <w:rPr>
          <w:rFonts w:ascii="Times New Roman" w:hAnsi="Times New Roman"/>
          <w:sz w:val="28"/>
          <w:szCs w:val="28"/>
        </w:rPr>
        <w:t xml:space="preserve"> ремонтные работы:</w:t>
      </w:r>
      <w:r>
        <w:rPr>
          <w:rFonts w:ascii="Times New Roman" w:hAnsi="Times New Roman"/>
          <w:sz w:val="28"/>
          <w:szCs w:val="28"/>
        </w:rPr>
        <w:t xml:space="preserve"> </w:t>
      </w:r>
      <w:r w:rsidRPr="002B7FD9">
        <w:rPr>
          <w:rFonts w:ascii="Times New Roman" w:hAnsi="Times New Roman"/>
          <w:sz w:val="28"/>
          <w:szCs w:val="28"/>
        </w:rPr>
        <w:t>заме</w:t>
      </w:r>
      <w:r>
        <w:rPr>
          <w:rFonts w:ascii="Times New Roman" w:hAnsi="Times New Roman"/>
          <w:sz w:val="28"/>
          <w:szCs w:val="28"/>
        </w:rPr>
        <w:t>на полов, оконных и дверных проё</w:t>
      </w:r>
      <w:r w:rsidRPr="002B7FD9">
        <w:rPr>
          <w:rFonts w:ascii="Times New Roman" w:hAnsi="Times New Roman"/>
          <w:sz w:val="28"/>
          <w:szCs w:val="28"/>
        </w:rPr>
        <w:t>мов, обивка стен гипсокартонными листами, окраска и оклейка обоями стен, устройство подвесных потолков, обустройство пожарной сигнализации, электромонтажные работы. Внешние работы: замена фундамента, канализационные работы, обивка внешних стен.</w:t>
      </w:r>
      <w:r w:rsidRPr="00327FED">
        <w:rPr>
          <w:rFonts w:ascii="Times New Roman" w:hAnsi="Times New Roman"/>
          <w:sz w:val="28"/>
          <w:szCs w:val="28"/>
        </w:rPr>
        <w:t xml:space="preserve"> </w:t>
      </w:r>
      <w:r>
        <w:rPr>
          <w:rFonts w:ascii="Times New Roman" w:hAnsi="Times New Roman"/>
          <w:sz w:val="28"/>
          <w:szCs w:val="28"/>
        </w:rPr>
        <w:t xml:space="preserve">С обновлением внешнего и внутреннего облика повысилась привлекательность учреждения для посетителей всех возрастов и социальных групп. Население по достоинству оценили проведённый ремонт, отметили комфорт, теплоту и уют помещений, а так же доступность для людей с ограниченными возможностями. </w:t>
      </w:r>
    </w:p>
    <w:p w:rsidR="00726CE6" w:rsidRPr="00EF1B98" w:rsidRDefault="00726CE6" w:rsidP="00EF1B98">
      <w:pPr>
        <w:spacing w:after="0" w:line="240" w:lineRule="auto"/>
        <w:ind w:firstLine="708"/>
        <w:jc w:val="both"/>
        <w:outlineLvl w:val="1"/>
        <w:rPr>
          <w:rFonts w:ascii="Times New Roman" w:hAnsi="Times New Roman"/>
          <w:b/>
          <w:sz w:val="28"/>
          <w:szCs w:val="28"/>
        </w:rPr>
      </w:pPr>
      <w:r w:rsidRPr="00EF1B98">
        <w:rPr>
          <w:rFonts w:ascii="Times New Roman" w:hAnsi="Times New Roman"/>
          <w:b/>
          <w:sz w:val="28"/>
          <w:szCs w:val="28"/>
        </w:rPr>
        <w:t>Жилищно-коммунальное хозяйство</w:t>
      </w:r>
    </w:p>
    <w:p w:rsidR="00EF1B98" w:rsidRPr="00287BD1" w:rsidRDefault="00EF1B98" w:rsidP="00EF1B98">
      <w:pPr>
        <w:spacing w:after="0" w:line="240" w:lineRule="auto"/>
        <w:ind w:right="-142" w:firstLine="482"/>
        <w:jc w:val="both"/>
        <w:rPr>
          <w:rFonts w:ascii="Times New Roman" w:hAnsi="Times New Roman"/>
          <w:sz w:val="28"/>
          <w:szCs w:val="28"/>
        </w:rPr>
      </w:pPr>
      <w:r w:rsidRPr="00287BD1">
        <w:rPr>
          <w:rFonts w:ascii="Times New Roman" w:hAnsi="Times New Roman"/>
          <w:sz w:val="28"/>
          <w:szCs w:val="28"/>
        </w:rPr>
        <w:t xml:space="preserve">По состоянию на 31 декабря 2022 года протяженность инженерных сетей </w:t>
      </w:r>
      <w:r>
        <w:rPr>
          <w:rFonts w:ascii="Times New Roman" w:hAnsi="Times New Roman"/>
          <w:sz w:val="28"/>
          <w:szCs w:val="28"/>
        </w:rPr>
        <w:t>округа</w:t>
      </w:r>
      <w:r w:rsidRPr="00287BD1">
        <w:rPr>
          <w:rFonts w:ascii="Times New Roman" w:hAnsi="Times New Roman"/>
          <w:sz w:val="28"/>
          <w:szCs w:val="28"/>
        </w:rPr>
        <w:t xml:space="preserve"> составила: </w:t>
      </w:r>
    </w:p>
    <w:p w:rsidR="00EF1B98" w:rsidRPr="00287BD1" w:rsidRDefault="00EF1B98" w:rsidP="007B6111">
      <w:pPr>
        <w:numPr>
          <w:ilvl w:val="0"/>
          <w:numId w:val="1"/>
        </w:numPr>
        <w:spacing w:after="0" w:line="240" w:lineRule="auto"/>
        <w:ind w:right="-142"/>
        <w:jc w:val="both"/>
        <w:rPr>
          <w:rFonts w:ascii="Times New Roman" w:hAnsi="Times New Roman"/>
          <w:sz w:val="28"/>
          <w:szCs w:val="28"/>
        </w:rPr>
      </w:pPr>
      <w:r w:rsidRPr="00287BD1">
        <w:rPr>
          <w:rFonts w:ascii="Times New Roman" w:hAnsi="Times New Roman"/>
          <w:sz w:val="28"/>
          <w:szCs w:val="28"/>
        </w:rPr>
        <w:t>тепловые сети по всем видам собственности – 5,4 км, из них ветхих – 0,2 км.</w:t>
      </w:r>
    </w:p>
    <w:p w:rsidR="00EF1B98" w:rsidRPr="00287BD1" w:rsidRDefault="00EF1B98" w:rsidP="007B6111">
      <w:pPr>
        <w:numPr>
          <w:ilvl w:val="0"/>
          <w:numId w:val="1"/>
        </w:numPr>
        <w:spacing w:after="0" w:line="240" w:lineRule="auto"/>
        <w:ind w:right="-142"/>
        <w:jc w:val="both"/>
        <w:rPr>
          <w:rFonts w:ascii="Times New Roman" w:hAnsi="Times New Roman"/>
          <w:sz w:val="28"/>
          <w:szCs w:val="28"/>
        </w:rPr>
      </w:pPr>
      <w:r w:rsidRPr="00287BD1">
        <w:rPr>
          <w:rFonts w:ascii="Times New Roman" w:hAnsi="Times New Roman"/>
          <w:sz w:val="28"/>
          <w:szCs w:val="28"/>
        </w:rPr>
        <w:t xml:space="preserve">водопроводные сети – 120,3 </w:t>
      </w:r>
      <w:proofErr w:type="gramStart"/>
      <w:r w:rsidRPr="00287BD1">
        <w:rPr>
          <w:rFonts w:ascii="Times New Roman" w:hAnsi="Times New Roman"/>
          <w:sz w:val="28"/>
          <w:szCs w:val="28"/>
        </w:rPr>
        <w:t>км.,</w:t>
      </w:r>
      <w:proofErr w:type="gramEnd"/>
      <w:r w:rsidRPr="00287BD1">
        <w:rPr>
          <w:rFonts w:ascii="Times New Roman" w:hAnsi="Times New Roman"/>
          <w:sz w:val="28"/>
          <w:szCs w:val="28"/>
        </w:rPr>
        <w:t xml:space="preserve"> из них аварийные – 51,8 км;</w:t>
      </w:r>
    </w:p>
    <w:p w:rsidR="00EF1B98" w:rsidRPr="00287BD1" w:rsidRDefault="00EF1B98" w:rsidP="007B6111">
      <w:pPr>
        <w:numPr>
          <w:ilvl w:val="0"/>
          <w:numId w:val="1"/>
        </w:numPr>
        <w:spacing w:after="0" w:line="240" w:lineRule="auto"/>
        <w:ind w:right="-142"/>
        <w:jc w:val="both"/>
        <w:rPr>
          <w:rFonts w:ascii="Times New Roman" w:hAnsi="Times New Roman"/>
          <w:sz w:val="28"/>
          <w:szCs w:val="28"/>
        </w:rPr>
      </w:pPr>
      <w:r w:rsidRPr="00287BD1">
        <w:rPr>
          <w:rFonts w:ascii="Times New Roman" w:hAnsi="Times New Roman"/>
          <w:sz w:val="28"/>
          <w:szCs w:val="28"/>
        </w:rPr>
        <w:t xml:space="preserve"> канализационные сети – 0,5 </w:t>
      </w:r>
      <w:proofErr w:type="gramStart"/>
      <w:r w:rsidRPr="00287BD1">
        <w:rPr>
          <w:rFonts w:ascii="Times New Roman" w:hAnsi="Times New Roman"/>
          <w:sz w:val="28"/>
          <w:szCs w:val="28"/>
        </w:rPr>
        <w:t>км,.</w:t>
      </w:r>
      <w:proofErr w:type="gramEnd"/>
      <w:r w:rsidRPr="00287BD1">
        <w:rPr>
          <w:rFonts w:ascii="Times New Roman" w:hAnsi="Times New Roman"/>
          <w:sz w:val="28"/>
          <w:szCs w:val="28"/>
        </w:rPr>
        <w:t xml:space="preserve"> из них ветхие - 0,5 км;</w:t>
      </w:r>
    </w:p>
    <w:p w:rsidR="00EF1B98" w:rsidRPr="00287BD1" w:rsidRDefault="00EF1B98" w:rsidP="007B6111">
      <w:pPr>
        <w:numPr>
          <w:ilvl w:val="0"/>
          <w:numId w:val="1"/>
        </w:numPr>
        <w:spacing w:after="0" w:line="240" w:lineRule="auto"/>
        <w:ind w:right="-142"/>
        <w:jc w:val="both"/>
        <w:rPr>
          <w:rFonts w:ascii="Times New Roman" w:hAnsi="Times New Roman"/>
          <w:sz w:val="28"/>
          <w:szCs w:val="28"/>
        </w:rPr>
      </w:pPr>
      <w:r w:rsidRPr="00287BD1">
        <w:rPr>
          <w:rFonts w:ascii="Times New Roman" w:hAnsi="Times New Roman"/>
          <w:sz w:val="28"/>
          <w:szCs w:val="28"/>
        </w:rPr>
        <w:t xml:space="preserve"> электрические сети – 1026,00 км;</w:t>
      </w:r>
    </w:p>
    <w:p w:rsidR="00EF1B98" w:rsidRPr="00287BD1" w:rsidRDefault="00EF1B98" w:rsidP="007B6111">
      <w:pPr>
        <w:numPr>
          <w:ilvl w:val="0"/>
          <w:numId w:val="1"/>
        </w:numPr>
        <w:spacing w:after="0" w:line="240" w:lineRule="auto"/>
        <w:ind w:right="-142"/>
        <w:jc w:val="both"/>
        <w:rPr>
          <w:rFonts w:ascii="Times New Roman" w:hAnsi="Times New Roman"/>
          <w:sz w:val="28"/>
          <w:szCs w:val="28"/>
        </w:rPr>
      </w:pPr>
      <w:r w:rsidRPr="00287BD1">
        <w:rPr>
          <w:rFonts w:ascii="Times New Roman" w:hAnsi="Times New Roman"/>
          <w:sz w:val="28"/>
          <w:szCs w:val="28"/>
        </w:rPr>
        <w:t xml:space="preserve">улично-дорожная сеть – 412,24 км. </w:t>
      </w:r>
    </w:p>
    <w:p w:rsidR="00EF1B98" w:rsidRPr="00287BD1" w:rsidRDefault="00EF1B98" w:rsidP="00EF1B98">
      <w:pPr>
        <w:spacing w:after="0" w:line="240" w:lineRule="auto"/>
        <w:ind w:firstLine="540"/>
        <w:jc w:val="both"/>
        <w:rPr>
          <w:rFonts w:ascii="Times New Roman" w:hAnsi="Times New Roman"/>
          <w:sz w:val="28"/>
          <w:szCs w:val="28"/>
        </w:rPr>
      </w:pPr>
      <w:r w:rsidRPr="00287BD1">
        <w:rPr>
          <w:rFonts w:ascii="Times New Roman" w:hAnsi="Times New Roman"/>
          <w:sz w:val="28"/>
          <w:szCs w:val="28"/>
        </w:rPr>
        <w:t xml:space="preserve"> В 2022 году в рамках подпрограммы 1 «Энергосбережение и повышение энергетической эффективности на территории Вологодской области» государственной программы «Развитие топливно-энергетического комплекса и коммунальной инфраструктуры на территории Вологодской области на 2021-2025 годы» с целью подготовки к работе в осенне-зимний период проведена замена котлов в котельной </w:t>
      </w:r>
      <w:r>
        <w:rPr>
          <w:rFonts w:ascii="Times New Roman" w:hAnsi="Times New Roman"/>
          <w:sz w:val="28"/>
          <w:szCs w:val="28"/>
        </w:rPr>
        <w:t xml:space="preserve">по адресу: </w:t>
      </w:r>
      <w:r w:rsidRPr="00287BD1">
        <w:rPr>
          <w:rFonts w:ascii="Times New Roman" w:hAnsi="Times New Roman"/>
          <w:sz w:val="28"/>
          <w:szCs w:val="28"/>
        </w:rPr>
        <w:t xml:space="preserve">д. Скоково, д.3а на общую сумму 695,2 тыс. руб. </w:t>
      </w:r>
    </w:p>
    <w:p w:rsidR="00EF1B98" w:rsidRPr="00287BD1" w:rsidRDefault="00EF1B98" w:rsidP="00EF1B98">
      <w:pPr>
        <w:spacing w:after="0" w:line="240" w:lineRule="auto"/>
        <w:ind w:right="-142" w:firstLine="482"/>
        <w:jc w:val="both"/>
        <w:rPr>
          <w:rFonts w:ascii="Times New Roman" w:hAnsi="Times New Roman"/>
          <w:sz w:val="28"/>
          <w:szCs w:val="28"/>
        </w:rPr>
      </w:pPr>
      <w:r w:rsidRPr="00287BD1">
        <w:rPr>
          <w:rFonts w:ascii="Times New Roman" w:hAnsi="Times New Roman"/>
          <w:sz w:val="28"/>
          <w:szCs w:val="28"/>
        </w:rPr>
        <w:t>Артезианские скважины обеспечивают питьевой водой 77,6% граждан, проживающих в районе.</w:t>
      </w:r>
    </w:p>
    <w:p w:rsidR="00EF1B98" w:rsidRPr="00287BD1" w:rsidRDefault="00EF1B98" w:rsidP="00EF1B98">
      <w:pPr>
        <w:spacing w:after="0" w:line="240" w:lineRule="auto"/>
        <w:ind w:right="-142" w:firstLine="482"/>
        <w:jc w:val="both"/>
        <w:rPr>
          <w:rFonts w:ascii="Times New Roman" w:hAnsi="Times New Roman"/>
          <w:sz w:val="28"/>
          <w:szCs w:val="28"/>
        </w:rPr>
      </w:pPr>
      <w:r w:rsidRPr="00287BD1">
        <w:rPr>
          <w:rFonts w:ascii="Times New Roman" w:hAnsi="Times New Roman"/>
          <w:sz w:val="28"/>
          <w:szCs w:val="28"/>
        </w:rPr>
        <w:t xml:space="preserve">Подготовлена проектно-сметная документация для реализации мероприятий направленных на повышение качества питьевой воды в рамках реализации регионального проекта «Чистая вода» по строительству и реконструкции (модернизации) объектов питьевого водоснабжения Бабушкинского муниципального района на следующие объекты: </w:t>
      </w:r>
    </w:p>
    <w:p w:rsidR="00EF1B98" w:rsidRPr="00287BD1" w:rsidRDefault="00EF1B98" w:rsidP="007B6111">
      <w:pPr>
        <w:numPr>
          <w:ilvl w:val="0"/>
          <w:numId w:val="2"/>
        </w:numPr>
        <w:spacing w:after="0" w:line="240" w:lineRule="auto"/>
        <w:ind w:right="-142"/>
        <w:jc w:val="both"/>
        <w:rPr>
          <w:rFonts w:ascii="Times New Roman" w:hAnsi="Times New Roman"/>
          <w:sz w:val="28"/>
          <w:szCs w:val="28"/>
        </w:rPr>
      </w:pPr>
      <w:r w:rsidRPr="00287BD1">
        <w:rPr>
          <w:rFonts w:ascii="Times New Roman" w:hAnsi="Times New Roman"/>
          <w:sz w:val="28"/>
          <w:szCs w:val="28"/>
        </w:rPr>
        <w:t>Реконструкция системы вод</w:t>
      </w:r>
      <w:r>
        <w:rPr>
          <w:rFonts w:ascii="Times New Roman" w:hAnsi="Times New Roman"/>
          <w:sz w:val="28"/>
          <w:szCs w:val="28"/>
        </w:rPr>
        <w:t xml:space="preserve">оснабжения с.им. Бабушкина и </w:t>
      </w:r>
      <w:proofErr w:type="spellStart"/>
      <w:r>
        <w:rPr>
          <w:rFonts w:ascii="Times New Roman" w:hAnsi="Times New Roman"/>
          <w:sz w:val="28"/>
          <w:szCs w:val="28"/>
        </w:rPr>
        <w:t>п.</w:t>
      </w:r>
      <w:r w:rsidRPr="00287BD1">
        <w:rPr>
          <w:rFonts w:ascii="Times New Roman" w:hAnsi="Times New Roman"/>
          <w:sz w:val="28"/>
          <w:szCs w:val="28"/>
        </w:rPr>
        <w:t>Юрманга</w:t>
      </w:r>
      <w:proofErr w:type="spellEnd"/>
      <w:r w:rsidRPr="00287BD1">
        <w:rPr>
          <w:rFonts w:ascii="Times New Roman" w:hAnsi="Times New Roman"/>
          <w:sz w:val="28"/>
          <w:szCs w:val="28"/>
        </w:rPr>
        <w:t xml:space="preserve"> Вологодской области со строительством водопроводных очистных сооружений в 2023-2024 годах, общая стоимость строительства составляет 321 135,3 тыс. рублей.</w:t>
      </w:r>
    </w:p>
    <w:p w:rsidR="00EF1B98" w:rsidRPr="00287BD1" w:rsidRDefault="00EF1B98" w:rsidP="007B6111">
      <w:pPr>
        <w:numPr>
          <w:ilvl w:val="0"/>
          <w:numId w:val="3"/>
        </w:numPr>
        <w:spacing w:after="0" w:line="240" w:lineRule="auto"/>
        <w:ind w:right="-142"/>
        <w:jc w:val="both"/>
        <w:rPr>
          <w:rFonts w:ascii="Times New Roman" w:hAnsi="Times New Roman"/>
          <w:sz w:val="28"/>
          <w:szCs w:val="28"/>
        </w:rPr>
      </w:pPr>
      <w:r w:rsidRPr="00287BD1">
        <w:rPr>
          <w:rFonts w:ascii="Times New Roman" w:hAnsi="Times New Roman"/>
          <w:sz w:val="28"/>
          <w:szCs w:val="28"/>
        </w:rPr>
        <w:lastRenderedPageBreak/>
        <w:t>Реконструкция системы водоснабжения в с. Воскресенское Бабушкинского района в 2023-2024 годах, общая стоимость строительства составляет 187 082,9 тыс. рублей.</w:t>
      </w:r>
    </w:p>
    <w:p w:rsidR="00EF1B98" w:rsidRDefault="00EF1B98" w:rsidP="00EF1B98">
      <w:pPr>
        <w:spacing w:after="0" w:line="240" w:lineRule="auto"/>
        <w:ind w:right="-142" w:firstLine="482"/>
        <w:jc w:val="both"/>
        <w:rPr>
          <w:rFonts w:ascii="Times New Roman" w:hAnsi="Times New Roman"/>
          <w:sz w:val="28"/>
          <w:szCs w:val="28"/>
        </w:rPr>
      </w:pPr>
      <w:r>
        <w:rPr>
          <w:rFonts w:ascii="Times New Roman" w:hAnsi="Times New Roman"/>
          <w:sz w:val="28"/>
          <w:szCs w:val="28"/>
        </w:rPr>
        <w:t>Данные объекты рассматривались на Градостроительном Совете при Губернаторе Вологодской области в 2022 году и были утверждены для реализации в 2023-2024 г.г.</w:t>
      </w:r>
    </w:p>
    <w:p w:rsidR="00EF1B98" w:rsidRPr="00287BD1" w:rsidRDefault="00EF1B98" w:rsidP="00EF1B98">
      <w:pPr>
        <w:spacing w:after="0" w:line="240" w:lineRule="auto"/>
        <w:ind w:right="-142" w:firstLine="482"/>
        <w:jc w:val="both"/>
        <w:rPr>
          <w:rFonts w:ascii="Times New Roman" w:hAnsi="Times New Roman"/>
          <w:color w:val="FF0000"/>
          <w:sz w:val="28"/>
          <w:szCs w:val="28"/>
        </w:rPr>
      </w:pPr>
      <w:r>
        <w:rPr>
          <w:rFonts w:ascii="Times New Roman" w:hAnsi="Times New Roman"/>
          <w:sz w:val="28"/>
          <w:szCs w:val="28"/>
        </w:rPr>
        <w:t>В 2022 году в</w:t>
      </w:r>
      <w:r w:rsidRPr="00287BD1">
        <w:rPr>
          <w:rFonts w:ascii="Times New Roman" w:hAnsi="Times New Roman"/>
          <w:sz w:val="28"/>
          <w:szCs w:val="28"/>
        </w:rPr>
        <w:t>ыполнен ремонт одного павильона артезианской скважины в с. Рослятино, двух павильонов артезианских скважин в п. Зайчики.</w:t>
      </w:r>
      <w:r>
        <w:rPr>
          <w:rFonts w:ascii="Times New Roman" w:hAnsi="Times New Roman"/>
          <w:sz w:val="28"/>
          <w:szCs w:val="28"/>
        </w:rPr>
        <w:t xml:space="preserve"> </w:t>
      </w:r>
      <w:r w:rsidRPr="00287BD1">
        <w:rPr>
          <w:rFonts w:ascii="Times New Roman" w:hAnsi="Times New Roman"/>
          <w:sz w:val="28"/>
          <w:szCs w:val="28"/>
        </w:rPr>
        <w:t>Выполнено обустройство ограждения первого пояска зоны санитарной охраны четырех артезианских скважин, а именно в п. Комсомольский, п. За</w:t>
      </w:r>
      <w:r>
        <w:rPr>
          <w:rFonts w:ascii="Times New Roman" w:hAnsi="Times New Roman"/>
          <w:sz w:val="28"/>
          <w:szCs w:val="28"/>
        </w:rPr>
        <w:t xml:space="preserve">йчики, д. Полюдово, д. </w:t>
      </w:r>
      <w:proofErr w:type="spellStart"/>
      <w:r>
        <w:rPr>
          <w:rFonts w:ascii="Times New Roman" w:hAnsi="Times New Roman"/>
          <w:sz w:val="28"/>
          <w:szCs w:val="28"/>
        </w:rPr>
        <w:t>Косиково</w:t>
      </w:r>
      <w:proofErr w:type="spellEnd"/>
      <w:r>
        <w:rPr>
          <w:rFonts w:ascii="Times New Roman" w:hAnsi="Times New Roman"/>
          <w:sz w:val="28"/>
          <w:szCs w:val="28"/>
        </w:rPr>
        <w:t xml:space="preserve"> на общую сумму 834 тыс. руб. </w:t>
      </w:r>
    </w:p>
    <w:p w:rsidR="00EF1B98" w:rsidRDefault="00EF1B98" w:rsidP="00EF1B98">
      <w:pPr>
        <w:spacing w:after="0" w:line="240" w:lineRule="auto"/>
        <w:ind w:right="-142" w:firstLine="482"/>
        <w:jc w:val="both"/>
        <w:rPr>
          <w:rFonts w:ascii="Times New Roman" w:hAnsi="Times New Roman"/>
          <w:b/>
          <w:bCs/>
          <w:sz w:val="28"/>
          <w:szCs w:val="28"/>
        </w:rPr>
      </w:pPr>
      <w:r>
        <w:rPr>
          <w:rFonts w:ascii="Times New Roman" w:hAnsi="Times New Roman"/>
          <w:b/>
          <w:bCs/>
          <w:sz w:val="28"/>
          <w:szCs w:val="28"/>
        </w:rPr>
        <w:t xml:space="preserve"> </w:t>
      </w:r>
      <w:r w:rsidRPr="00287BD1">
        <w:rPr>
          <w:rFonts w:ascii="Times New Roman" w:hAnsi="Times New Roman"/>
          <w:b/>
          <w:bCs/>
          <w:sz w:val="28"/>
          <w:szCs w:val="28"/>
        </w:rPr>
        <w:t>Градостроительная деятельность:</w:t>
      </w:r>
    </w:p>
    <w:p w:rsidR="00EF1B98" w:rsidRDefault="00EF1B98" w:rsidP="00EF1B98">
      <w:pPr>
        <w:spacing w:after="0" w:line="240" w:lineRule="auto"/>
        <w:ind w:firstLine="540"/>
        <w:jc w:val="both"/>
        <w:rPr>
          <w:rFonts w:ascii="Times New Roman" w:hAnsi="Times New Roman"/>
          <w:bCs/>
          <w:sz w:val="28"/>
          <w:szCs w:val="28"/>
        </w:rPr>
      </w:pPr>
      <w:r w:rsidRPr="00287BD1">
        <w:rPr>
          <w:rFonts w:ascii="Times New Roman" w:hAnsi="Times New Roman"/>
          <w:sz w:val="28"/>
          <w:szCs w:val="28"/>
        </w:rPr>
        <w:t xml:space="preserve">Важным показателем в развитии экономики округа является жилищное строительство. В 2022 году </w:t>
      </w:r>
      <w:r>
        <w:rPr>
          <w:rFonts w:ascii="Times New Roman" w:hAnsi="Times New Roman"/>
          <w:sz w:val="28"/>
          <w:szCs w:val="28"/>
        </w:rPr>
        <w:t>построено</w:t>
      </w:r>
      <w:r w:rsidRPr="00287BD1">
        <w:rPr>
          <w:rFonts w:ascii="Times New Roman" w:hAnsi="Times New Roman"/>
          <w:sz w:val="28"/>
          <w:szCs w:val="28"/>
        </w:rPr>
        <w:t xml:space="preserve"> 15 индивидуальны</w:t>
      </w:r>
      <w:r>
        <w:rPr>
          <w:rFonts w:ascii="Times New Roman" w:hAnsi="Times New Roman"/>
          <w:sz w:val="28"/>
          <w:szCs w:val="28"/>
        </w:rPr>
        <w:t>х</w:t>
      </w:r>
      <w:r w:rsidRPr="00287BD1">
        <w:rPr>
          <w:rFonts w:ascii="Times New Roman" w:hAnsi="Times New Roman"/>
          <w:sz w:val="28"/>
          <w:szCs w:val="28"/>
        </w:rPr>
        <w:t xml:space="preserve"> </w:t>
      </w:r>
      <w:r>
        <w:rPr>
          <w:rFonts w:ascii="Times New Roman" w:hAnsi="Times New Roman"/>
          <w:sz w:val="28"/>
          <w:szCs w:val="28"/>
        </w:rPr>
        <w:t>жилых домов, в</w:t>
      </w:r>
      <w:r w:rsidRPr="00287BD1">
        <w:rPr>
          <w:rFonts w:ascii="Times New Roman" w:hAnsi="Times New Roman"/>
          <w:sz w:val="28"/>
          <w:szCs w:val="28"/>
        </w:rPr>
        <w:t>ведено в эксплуатацию 1610,3 кв.м. жилья</w:t>
      </w:r>
      <w:r w:rsidRPr="00287BD1">
        <w:rPr>
          <w:rFonts w:ascii="Times New Roman" w:hAnsi="Times New Roman"/>
          <w:bCs/>
          <w:sz w:val="28"/>
          <w:szCs w:val="28"/>
        </w:rPr>
        <w:t xml:space="preserve">. </w:t>
      </w:r>
    </w:p>
    <w:p w:rsidR="00EF1B98" w:rsidRPr="00287BD1" w:rsidRDefault="00EF1B98" w:rsidP="00EF1B98">
      <w:pPr>
        <w:spacing w:after="0" w:line="240" w:lineRule="auto"/>
        <w:ind w:firstLine="540"/>
        <w:jc w:val="both"/>
        <w:rPr>
          <w:rFonts w:ascii="Times New Roman" w:hAnsi="Times New Roman"/>
          <w:b/>
          <w:bCs/>
          <w:sz w:val="28"/>
          <w:szCs w:val="28"/>
        </w:rPr>
      </w:pPr>
      <w:r w:rsidRPr="00287BD1">
        <w:rPr>
          <w:rFonts w:ascii="Times New Roman" w:hAnsi="Times New Roman"/>
          <w:b/>
          <w:bCs/>
          <w:sz w:val="28"/>
          <w:szCs w:val="28"/>
        </w:rPr>
        <w:t>Капитальный ремонт муниципального жилья:</w:t>
      </w:r>
    </w:p>
    <w:p w:rsidR="00EF1B98" w:rsidRPr="00287BD1" w:rsidRDefault="00EF1B98" w:rsidP="00EF1B98">
      <w:pPr>
        <w:spacing w:after="0" w:line="240" w:lineRule="auto"/>
        <w:ind w:firstLine="540"/>
        <w:jc w:val="both"/>
        <w:rPr>
          <w:rFonts w:ascii="Times New Roman" w:hAnsi="Times New Roman"/>
          <w:sz w:val="28"/>
          <w:szCs w:val="28"/>
        </w:rPr>
      </w:pPr>
      <w:r>
        <w:rPr>
          <w:rFonts w:ascii="Times New Roman" w:hAnsi="Times New Roman"/>
          <w:sz w:val="28"/>
          <w:szCs w:val="28"/>
        </w:rPr>
        <w:t>В 2022 году  проведен</w:t>
      </w:r>
      <w:r w:rsidRPr="00287BD1">
        <w:rPr>
          <w:rFonts w:ascii="Times New Roman" w:hAnsi="Times New Roman"/>
          <w:sz w:val="28"/>
          <w:szCs w:val="28"/>
        </w:rPr>
        <w:t xml:space="preserve"> капитального ремонт</w:t>
      </w:r>
      <w:r>
        <w:rPr>
          <w:rFonts w:ascii="Times New Roman" w:hAnsi="Times New Roman"/>
          <w:sz w:val="28"/>
          <w:szCs w:val="28"/>
        </w:rPr>
        <w:t>а</w:t>
      </w:r>
      <w:r w:rsidRPr="00287BD1">
        <w:rPr>
          <w:rFonts w:ascii="Times New Roman" w:hAnsi="Times New Roman"/>
          <w:sz w:val="28"/>
          <w:szCs w:val="28"/>
        </w:rPr>
        <w:t xml:space="preserve"> муниципального жилья в </w:t>
      </w:r>
      <w:proofErr w:type="spellStart"/>
      <w:r w:rsidRPr="00287BD1">
        <w:rPr>
          <w:rFonts w:ascii="Times New Roman" w:hAnsi="Times New Roman"/>
          <w:sz w:val="28"/>
          <w:szCs w:val="28"/>
        </w:rPr>
        <w:t>Рослятинском</w:t>
      </w:r>
      <w:proofErr w:type="spellEnd"/>
      <w:r w:rsidRPr="00287BD1">
        <w:rPr>
          <w:rFonts w:ascii="Times New Roman" w:hAnsi="Times New Roman"/>
          <w:sz w:val="28"/>
          <w:szCs w:val="28"/>
        </w:rPr>
        <w:t xml:space="preserve"> сельск</w:t>
      </w:r>
      <w:r>
        <w:rPr>
          <w:rFonts w:ascii="Times New Roman" w:hAnsi="Times New Roman"/>
          <w:sz w:val="28"/>
          <w:szCs w:val="28"/>
        </w:rPr>
        <w:t>ом поселении</w:t>
      </w:r>
      <w:r w:rsidRPr="00287BD1">
        <w:rPr>
          <w:rFonts w:ascii="Times New Roman" w:hAnsi="Times New Roman"/>
          <w:sz w:val="28"/>
          <w:szCs w:val="28"/>
        </w:rPr>
        <w:t xml:space="preserve"> в рамках реализации муниципальной программы «Капитальный ремонт жилых домов муниципального жилищного фонда Бабушкинского муниципального района на 2022-2026 годы» на общую сумму 221,6 тыс. руб. </w:t>
      </w:r>
    </w:p>
    <w:p w:rsidR="00EF1B98" w:rsidRPr="00610D33" w:rsidRDefault="00EF1B98" w:rsidP="00EF1B98">
      <w:pPr>
        <w:spacing w:after="0" w:line="240" w:lineRule="auto"/>
        <w:ind w:right="-142" w:firstLine="482"/>
        <w:jc w:val="both"/>
        <w:rPr>
          <w:rFonts w:ascii="Times New Roman" w:hAnsi="Times New Roman"/>
          <w:b/>
          <w:bCs/>
          <w:sz w:val="28"/>
          <w:szCs w:val="28"/>
        </w:rPr>
      </w:pPr>
      <w:r>
        <w:rPr>
          <w:rFonts w:ascii="Times New Roman" w:hAnsi="Times New Roman"/>
          <w:noProof/>
          <w:sz w:val="28"/>
          <w:szCs w:val="28"/>
          <w:lang w:eastAsia="ru-RU"/>
        </w:rPr>
        <w:drawing>
          <wp:inline distT="0" distB="0" distL="0" distR="0">
            <wp:extent cx="5181600" cy="2257425"/>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EF1B98" w:rsidRPr="00287BD1" w:rsidRDefault="00EF1B98" w:rsidP="00EF1B98">
      <w:pPr>
        <w:spacing w:after="0" w:line="240" w:lineRule="auto"/>
        <w:ind w:firstLine="540"/>
        <w:jc w:val="both"/>
        <w:rPr>
          <w:rFonts w:ascii="Times New Roman" w:hAnsi="Times New Roman"/>
          <w:sz w:val="28"/>
          <w:szCs w:val="28"/>
        </w:rPr>
      </w:pPr>
    </w:p>
    <w:p w:rsidR="00EF1B98" w:rsidRPr="00287BD1" w:rsidRDefault="00EF1B98" w:rsidP="00EF1B98">
      <w:pPr>
        <w:spacing w:after="0" w:line="240" w:lineRule="auto"/>
        <w:ind w:firstLine="540"/>
        <w:jc w:val="both"/>
        <w:rPr>
          <w:rFonts w:ascii="Times New Roman" w:hAnsi="Times New Roman"/>
          <w:b/>
          <w:bCs/>
          <w:sz w:val="28"/>
          <w:szCs w:val="28"/>
        </w:rPr>
      </w:pPr>
      <w:r w:rsidRPr="00287BD1">
        <w:rPr>
          <w:rFonts w:ascii="Times New Roman" w:hAnsi="Times New Roman"/>
          <w:b/>
          <w:bCs/>
          <w:sz w:val="28"/>
          <w:szCs w:val="28"/>
        </w:rPr>
        <w:t>Обеспечение жильем молодых семей:</w:t>
      </w:r>
    </w:p>
    <w:p w:rsidR="00EF1B98" w:rsidRDefault="00EF1B98" w:rsidP="00EF1B98">
      <w:pPr>
        <w:spacing w:after="0" w:line="240" w:lineRule="auto"/>
        <w:ind w:firstLine="540"/>
        <w:jc w:val="both"/>
        <w:rPr>
          <w:rFonts w:ascii="Times New Roman" w:hAnsi="Times New Roman"/>
          <w:b/>
          <w:bCs/>
          <w:sz w:val="28"/>
          <w:szCs w:val="28"/>
        </w:rPr>
      </w:pPr>
      <w:r w:rsidRPr="00287BD1">
        <w:rPr>
          <w:rFonts w:ascii="Times New Roman" w:hAnsi="Times New Roman"/>
          <w:sz w:val="28"/>
          <w:szCs w:val="28"/>
        </w:rPr>
        <w:t xml:space="preserve">Проблема обеспечения жильем остается одной из острых. 105 семей состоит на учете в качестве </w:t>
      </w:r>
      <w:r w:rsidRPr="00287BD1">
        <w:rPr>
          <w:rFonts w:ascii="Times New Roman" w:hAnsi="Times New Roman"/>
          <w:bCs/>
          <w:sz w:val="28"/>
          <w:szCs w:val="28"/>
        </w:rPr>
        <w:t>нуждающихся в жилых помещениях, предоставляемых по договорам социального найма, малоимущих граждан</w:t>
      </w:r>
      <w:r w:rsidRPr="00287BD1">
        <w:rPr>
          <w:rFonts w:ascii="Times New Roman" w:hAnsi="Times New Roman"/>
          <w:sz w:val="28"/>
          <w:szCs w:val="28"/>
        </w:rPr>
        <w:t xml:space="preserve">. За 2022 год на учет в качестве нуждающихся по договорам социального </w:t>
      </w:r>
      <w:proofErr w:type="gramStart"/>
      <w:r w:rsidRPr="00287BD1">
        <w:rPr>
          <w:rFonts w:ascii="Times New Roman" w:hAnsi="Times New Roman"/>
          <w:sz w:val="28"/>
          <w:szCs w:val="28"/>
        </w:rPr>
        <w:t xml:space="preserve">найма </w:t>
      </w:r>
      <w:r>
        <w:rPr>
          <w:rFonts w:ascii="Times New Roman" w:hAnsi="Times New Roman"/>
          <w:sz w:val="28"/>
          <w:szCs w:val="28"/>
        </w:rPr>
        <w:t xml:space="preserve"> приняты</w:t>
      </w:r>
      <w:proofErr w:type="gramEnd"/>
      <w:r>
        <w:rPr>
          <w:rFonts w:ascii="Times New Roman" w:hAnsi="Times New Roman"/>
          <w:sz w:val="28"/>
          <w:szCs w:val="28"/>
        </w:rPr>
        <w:t xml:space="preserve"> </w:t>
      </w:r>
      <w:r w:rsidRPr="00287BD1">
        <w:rPr>
          <w:rFonts w:ascii="Times New Roman" w:hAnsi="Times New Roman"/>
          <w:sz w:val="28"/>
          <w:szCs w:val="28"/>
        </w:rPr>
        <w:t>11 семей.</w:t>
      </w:r>
      <w:r>
        <w:rPr>
          <w:rFonts w:ascii="Times New Roman" w:hAnsi="Times New Roman"/>
          <w:b/>
          <w:bCs/>
          <w:sz w:val="28"/>
          <w:szCs w:val="28"/>
        </w:rPr>
        <w:t xml:space="preserve"> </w:t>
      </w:r>
    </w:p>
    <w:p w:rsidR="00EF1B98" w:rsidRPr="00610D33" w:rsidRDefault="00EF1B98" w:rsidP="00EF1B98">
      <w:pPr>
        <w:spacing w:after="0" w:line="240" w:lineRule="auto"/>
        <w:ind w:firstLine="540"/>
        <w:jc w:val="both"/>
        <w:rPr>
          <w:rFonts w:ascii="Times New Roman" w:hAnsi="Times New Roman"/>
          <w:b/>
          <w:bCs/>
          <w:sz w:val="28"/>
          <w:szCs w:val="28"/>
        </w:rPr>
      </w:pPr>
      <w:r>
        <w:rPr>
          <w:rFonts w:ascii="Times New Roman" w:hAnsi="Times New Roman"/>
          <w:b/>
          <w:bCs/>
          <w:sz w:val="28"/>
          <w:szCs w:val="28"/>
        </w:rPr>
        <w:t xml:space="preserve"> </w:t>
      </w:r>
      <w:r w:rsidRPr="00610D33">
        <w:rPr>
          <w:rFonts w:ascii="Times New Roman" w:hAnsi="Times New Roman"/>
          <w:bCs/>
          <w:sz w:val="28"/>
          <w:szCs w:val="28"/>
        </w:rPr>
        <w:t xml:space="preserve">В </w:t>
      </w:r>
      <w:r w:rsidRPr="00610D33">
        <w:rPr>
          <w:rFonts w:ascii="Times New Roman" w:hAnsi="Times New Roman"/>
          <w:sz w:val="28"/>
          <w:szCs w:val="28"/>
        </w:rPr>
        <w:t>ц</w:t>
      </w:r>
      <w:r w:rsidRPr="00287BD1">
        <w:rPr>
          <w:rFonts w:ascii="Times New Roman" w:hAnsi="Times New Roman"/>
          <w:sz w:val="28"/>
          <w:szCs w:val="28"/>
        </w:rPr>
        <w:t>елях предоставления социальных выплат молодым семьям-участникам мероприятий по обеспечению жильем молодых семей ве</w:t>
      </w:r>
      <w:r>
        <w:rPr>
          <w:rFonts w:ascii="Times New Roman" w:hAnsi="Times New Roman"/>
          <w:sz w:val="28"/>
          <w:szCs w:val="28"/>
        </w:rPr>
        <w:t>домственной целевой программы «</w:t>
      </w:r>
      <w:r w:rsidRPr="00287BD1">
        <w:rPr>
          <w:rFonts w:ascii="Times New Roman" w:hAnsi="Times New Roman"/>
          <w:sz w:val="28"/>
          <w:szCs w:val="28"/>
        </w:rPr>
        <w:t xml:space="preserve">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«Создание условий для обеспечения доступным жильем граждан области» государственной </w:t>
      </w:r>
      <w:r>
        <w:rPr>
          <w:rFonts w:ascii="Times New Roman" w:hAnsi="Times New Roman"/>
          <w:sz w:val="28"/>
          <w:szCs w:val="28"/>
        </w:rPr>
        <w:t>программы Вологодской области «</w:t>
      </w:r>
      <w:r w:rsidRPr="00287BD1">
        <w:rPr>
          <w:rFonts w:ascii="Times New Roman" w:hAnsi="Times New Roman"/>
          <w:sz w:val="28"/>
          <w:szCs w:val="28"/>
        </w:rPr>
        <w:t xml:space="preserve">Обеспечение населения Вологодской области доступным жильем и создание благоприятных условий проживания на 2021-2025 годы» представлена субсидия из областного бюджета 1 </w:t>
      </w:r>
      <w:r w:rsidRPr="00287BD1">
        <w:rPr>
          <w:rFonts w:ascii="Times New Roman" w:hAnsi="Times New Roman"/>
          <w:sz w:val="28"/>
          <w:szCs w:val="28"/>
        </w:rPr>
        <w:lastRenderedPageBreak/>
        <w:t>семье на приобретение жилого помещения, общая сумма субсидии составила</w:t>
      </w:r>
      <w:r w:rsidRPr="00287BD1">
        <w:rPr>
          <w:rFonts w:ascii="Times New Roman" w:hAnsi="Times New Roman"/>
          <w:color w:val="000000"/>
          <w:sz w:val="28"/>
          <w:szCs w:val="28"/>
        </w:rPr>
        <w:t xml:space="preserve">  453,6 тыс.</w:t>
      </w:r>
      <w:r>
        <w:rPr>
          <w:rFonts w:ascii="Times New Roman" w:hAnsi="Times New Roman"/>
          <w:color w:val="000000"/>
          <w:sz w:val="28"/>
          <w:szCs w:val="28"/>
        </w:rPr>
        <w:t xml:space="preserve"> </w:t>
      </w:r>
      <w:r w:rsidRPr="00287BD1">
        <w:rPr>
          <w:rFonts w:ascii="Times New Roman" w:hAnsi="Times New Roman"/>
          <w:color w:val="000000"/>
          <w:sz w:val="28"/>
          <w:szCs w:val="28"/>
        </w:rPr>
        <w:t>рублей.</w:t>
      </w:r>
    </w:p>
    <w:p w:rsidR="00EF1B98" w:rsidRPr="00287BD1" w:rsidRDefault="00EF1B98" w:rsidP="00EF1B98">
      <w:pPr>
        <w:spacing w:after="0" w:line="240" w:lineRule="auto"/>
        <w:ind w:firstLine="540"/>
        <w:jc w:val="both"/>
        <w:rPr>
          <w:rFonts w:ascii="Times New Roman" w:hAnsi="Times New Roman"/>
          <w:b/>
          <w:color w:val="000000"/>
          <w:sz w:val="28"/>
          <w:szCs w:val="28"/>
        </w:rPr>
      </w:pPr>
      <w:r w:rsidRPr="00287BD1">
        <w:rPr>
          <w:rFonts w:ascii="Times New Roman" w:hAnsi="Times New Roman"/>
          <w:b/>
          <w:color w:val="000000"/>
          <w:sz w:val="28"/>
          <w:szCs w:val="28"/>
        </w:rPr>
        <w:t>Народный бюджет:</w:t>
      </w:r>
    </w:p>
    <w:p w:rsidR="00EF1B98" w:rsidRPr="00287BD1" w:rsidRDefault="00EF1B98" w:rsidP="00EF1B98">
      <w:pPr>
        <w:spacing w:after="0" w:line="240" w:lineRule="auto"/>
        <w:ind w:firstLine="540"/>
        <w:jc w:val="both"/>
        <w:rPr>
          <w:rFonts w:ascii="Times New Roman" w:hAnsi="Times New Roman"/>
          <w:sz w:val="28"/>
          <w:szCs w:val="28"/>
          <w:highlight w:val="red"/>
        </w:rPr>
      </w:pPr>
      <w:r w:rsidRPr="00610D33">
        <w:rPr>
          <w:rFonts w:ascii="Times New Roman" w:hAnsi="Times New Roman"/>
          <w:sz w:val="28"/>
          <w:szCs w:val="28"/>
        </w:rPr>
        <w:t xml:space="preserve">Региональный проект «Народный бюджет» призван изменить не только внешний облик населенных пунктов округа, но и подход к взаимоотношению муниципалитета, общества и бизнеса. </w:t>
      </w:r>
    </w:p>
    <w:p w:rsidR="00EF1B98" w:rsidRDefault="00EF1B98" w:rsidP="00EF1B98">
      <w:pPr>
        <w:spacing w:after="0" w:line="240" w:lineRule="auto"/>
        <w:ind w:firstLine="540"/>
        <w:jc w:val="both"/>
        <w:rPr>
          <w:rFonts w:ascii="Times New Roman" w:hAnsi="Times New Roman"/>
          <w:sz w:val="28"/>
          <w:szCs w:val="28"/>
        </w:rPr>
      </w:pPr>
      <w:r w:rsidRPr="00287BD1">
        <w:rPr>
          <w:rFonts w:ascii="Times New Roman" w:hAnsi="Times New Roman"/>
          <w:sz w:val="28"/>
          <w:szCs w:val="28"/>
        </w:rPr>
        <w:t>В 2022 году в рамках реализации программы «Народны</w:t>
      </w:r>
      <w:r>
        <w:rPr>
          <w:rFonts w:ascii="Times New Roman" w:hAnsi="Times New Roman"/>
          <w:sz w:val="28"/>
          <w:szCs w:val="28"/>
        </w:rPr>
        <w:t>й</w:t>
      </w:r>
      <w:r w:rsidRPr="00287BD1">
        <w:rPr>
          <w:rFonts w:ascii="Times New Roman" w:hAnsi="Times New Roman"/>
          <w:sz w:val="28"/>
          <w:szCs w:val="28"/>
        </w:rPr>
        <w:t xml:space="preserve"> бюджет» </w:t>
      </w:r>
      <w:r>
        <w:rPr>
          <w:rFonts w:ascii="Times New Roman" w:hAnsi="Times New Roman"/>
          <w:sz w:val="28"/>
          <w:szCs w:val="28"/>
        </w:rPr>
        <w:t xml:space="preserve"> на территории округа реализовано  52 проекта на общую сумму 23,2  млн. руб., из них средства областного бюджета- 16,2 млн. руб., местного бюджета-</w:t>
      </w:r>
    </w:p>
    <w:p w:rsidR="00EF1B98" w:rsidRPr="00287BD1" w:rsidRDefault="00EF1B98" w:rsidP="00EF1B98">
      <w:pPr>
        <w:spacing w:after="0" w:line="240" w:lineRule="auto"/>
        <w:ind w:firstLine="540"/>
        <w:jc w:val="both"/>
        <w:rPr>
          <w:rFonts w:ascii="Times New Roman" w:hAnsi="Times New Roman"/>
          <w:b/>
          <w:sz w:val="28"/>
          <w:szCs w:val="28"/>
        </w:rPr>
      </w:pPr>
      <w:r w:rsidRPr="00287BD1">
        <w:rPr>
          <w:rFonts w:ascii="Times New Roman" w:hAnsi="Times New Roman"/>
          <w:b/>
          <w:sz w:val="28"/>
          <w:szCs w:val="28"/>
        </w:rPr>
        <w:t>Дорожное хозяйство:</w:t>
      </w:r>
    </w:p>
    <w:p w:rsidR="00EF1B98" w:rsidRPr="00287BD1" w:rsidRDefault="00EF1B98" w:rsidP="00EF1B98">
      <w:pPr>
        <w:spacing w:after="0" w:line="240" w:lineRule="auto"/>
        <w:ind w:firstLine="540"/>
        <w:jc w:val="both"/>
        <w:rPr>
          <w:rFonts w:ascii="Times New Roman" w:hAnsi="Times New Roman"/>
          <w:sz w:val="28"/>
          <w:szCs w:val="28"/>
        </w:rPr>
      </w:pPr>
      <w:r w:rsidRPr="00287BD1">
        <w:rPr>
          <w:rFonts w:ascii="Times New Roman" w:hAnsi="Times New Roman"/>
          <w:sz w:val="28"/>
          <w:szCs w:val="28"/>
        </w:rPr>
        <w:t>Ремонт и содержание автомобильных дорог общего пользования местного значения осуществляется за счет средств Областного и Районного Дорожных фондов. За последние 5 лет распределение Дорожных фондов   проводилось следующим образом</w:t>
      </w:r>
      <w:r w:rsidR="00EA0E85">
        <w:rPr>
          <w:rFonts w:ascii="Times New Roman" w:hAnsi="Times New Roman"/>
          <w:sz w:val="28"/>
          <w:szCs w:val="28"/>
        </w:rPr>
        <w:t>, тыс. руб.</w:t>
      </w:r>
      <w:r w:rsidRPr="00287BD1">
        <w:rPr>
          <w:rFonts w:ascii="Times New Roman" w:hAnsi="Times New Roman"/>
          <w:sz w:val="28"/>
          <w:szCs w:val="28"/>
        </w:rPr>
        <w:t xml:space="preserve">: </w:t>
      </w:r>
    </w:p>
    <w:p w:rsidR="00641D78" w:rsidRDefault="00EF1B98" w:rsidP="00EF1B98">
      <w:pPr>
        <w:spacing w:after="0" w:line="240" w:lineRule="auto"/>
        <w:jc w:val="both"/>
      </w:pPr>
      <w:r>
        <w:rPr>
          <w:rFonts w:ascii="Times New Roman" w:hAnsi="Times New Roman"/>
          <w:noProof/>
          <w:sz w:val="28"/>
          <w:szCs w:val="28"/>
          <w:lang w:eastAsia="ru-RU"/>
        </w:rPr>
        <w:drawing>
          <wp:inline distT="0" distB="0" distL="0" distR="0">
            <wp:extent cx="5972175" cy="1828800"/>
            <wp:effectExtent l="0" t="0" r="0" b="0"/>
            <wp:docPr id="2" name="Диаграмма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tab/>
      </w:r>
    </w:p>
    <w:p w:rsidR="00EF1B98" w:rsidRPr="00241036" w:rsidRDefault="00EF1B98" w:rsidP="00641D78">
      <w:pPr>
        <w:spacing w:after="0" w:line="240" w:lineRule="auto"/>
        <w:ind w:firstLine="708"/>
        <w:jc w:val="both"/>
        <w:rPr>
          <w:rFonts w:ascii="Times New Roman" w:hAnsi="Times New Roman"/>
          <w:sz w:val="28"/>
          <w:szCs w:val="28"/>
        </w:rPr>
      </w:pPr>
      <w:r w:rsidRPr="00287BD1">
        <w:rPr>
          <w:rFonts w:ascii="Times New Roman" w:hAnsi="Times New Roman"/>
          <w:sz w:val="28"/>
          <w:szCs w:val="28"/>
        </w:rPr>
        <w:t xml:space="preserve">В 2022 году на развитие сети автомобильных дорог местного значения за счет Дорожного фонда области и Дорожного фонда района было направлено </w:t>
      </w:r>
      <w:r>
        <w:rPr>
          <w:rFonts w:ascii="Times New Roman" w:hAnsi="Times New Roman"/>
          <w:sz w:val="28"/>
          <w:szCs w:val="28"/>
        </w:rPr>
        <w:t>12,5 млн</w:t>
      </w:r>
      <w:r w:rsidRPr="00241036">
        <w:rPr>
          <w:rFonts w:ascii="Times New Roman" w:hAnsi="Times New Roman"/>
          <w:sz w:val="28"/>
          <w:szCs w:val="28"/>
        </w:rPr>
        <w:t>. руб</w:t>
      </w:r>
      <w:r>
        <w:rPr>
          <w:rFonts w:ascii="Times New Roman" w:hAnsi="Times New Roman"/>
          <w:sz w:val="28"/>
          <w:szCs w:val="28"/>
        </w:rPr>
        <w:t>.:</w:t>
      </w:r>
      <w:r w:rsidRPr="00241036">
        <w:rPr>
          <w:rFonts w:ascii="Times New Roman" w:hAnsi="Times New Roman"/>
          <w:sz w:val="28"/>
          <w:szCs w:val="28"/>
        </w:rPr>
        <w:t xml:space="preserve"> </w:t>
      </w:r>
    </w:p>
    <w:p w:rsidR="00EF1B98" w:rsidRDefault="00EF1B98" w:rsidP="00EF1B98">
      <w:pPr>
        <w:shd w:val="clear" w:color="auto" w:fill="FFFFFF"/>
        <w:suppressAutoHyphens/>
        <w:spacing w:after="0" w:line="240" w:lineRule="auto"/>
        <w:ind w:firstLine="709"/>
        <w:contextualSpacing/>
        <w:jc w:val="both"/>
        <w:rPr>
          <w:rFonts w:ascii="Times New Roman" w:hAnsi="Times New Roman"/>
          <w:sz w:val="28"/>
          <w:szCs w:val="28"/>
        </w:rPr>
      </w:pPr>
      <w:r>
        <w:rPr>
          <w:rFonts w:ascii="Times New Roman" w:hAnsi="Times New Roman"/>
          <w:sz w:val="28"/>
          <w:szCs w:val="28"/>
        </w:rPr>
        <w:t>- в</w:t>
      </w:r>
      <w:r w:rsidRPr="00287BD1">
        <w:rPr>
          <w:rFonts w:ascii="Times New Roman" w:hAnsi="Times New Roman"/>
          <w:sz w:val="28"/>
          <w:szCs w:val="28"/>
        </w:rPr>
        <w:t>ыполнен ремонт ул. Восточная в с.им. Бабушкина в щебеночном покрытии и благоустройство пешеходной зоны по ул. Школьная в с.им. Бабушкина, общая стоимость 11,2 млн. рублей.</w:t>
      </w:r>
    </w:p>
    <w:p w:rsidR="00EF1B98" w:rsidRPr="00241036" w:rsidRDefault="00EF1B98" w:rsidP="00EF1B98">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241036">
        <w:rPr>
          <w:rFonts w:ascii="Times New Roman" w:hAnsi="Times New Roman"/>
          <w:sz w:val="28"/>
          <w:szCs w:val="28"/>
        </w:rPr>
        <w:t xml:space="preserve">проведен ремонт дорог в </w:t>
      </w:r>
      <w:proofErr w:type="spellStart"/>
      <w:r w:rsidRPr="00241036">
        <w:rPr>
          <w:rFonts w:ascii="Times New Roman" w:hAnsi="Times New Roman"/>
          <w:sz w:val="28"/>
          <w:szCs w:val="28"/>
        </w:rPr>
        <w:t>мкр</w:t>
      </w:r>
      <w:proofErr w:type="spellEnd"/>
      <w:r w:rsidRPr="00241036">
        <w:rPr>
          <w:rFonts w:ascii="Times New Roman" w:hAnsi="Times New Roman"/>
          <w:sz w:val="28"/>
          <w:szCs w:val="28"/>
        </w:rPr>
        <w:t xml:space="preserve"> «Аэропорт» </w:t>
      </w:r>
      <w:proofErr w:type="spellStart"/>
      <w:r w:rsidRPr="00241036">
        <w:rPr>
          <w:rFonts w:ascii="Times New Roman" w:hAnsi="Times New Roman"/>
          <w:sz w:val="28"/>
          <w:szCs w:val="28"/>
        </w:rPr>
        <w:t>с.им</w:t>
      </w:r>
      <w:proofErr w:type="spellEnd"/>
      <w:r w:rsidRPr="00241036">
        <w:rPr>
          <w:rFonts w:ascii="Times New Roman" w:hAnsi="Times New Roman"/>
          <w:sz w:val="28"/>
          <w:szCs w:val="28"/>
        </w:rPr>
        <w:t>. Бабушкина (п</w:t>
      </w:r>
      <w:r>
        <w:rPr>
          <w:rFonts w:ascii="Times New Roman" w:hAnsi="Times New Roman"/>
          <w:sz w:val="28"/>
          <w:szCs w:val="28"/>
        </w:rPr>
        <w:t>ротяженность 0,8 км) 1,</w:t>
      </w:r>
      <w:r w:rsidRPr="00241036">
        <w:rPr>
          <w:rFonts w:ascii="Times New Roman" w:hAnsi="Times New Roman"/>
          <w:sz w:val="28"/>
          <w:szCs w:val="28"/>
        </w:rPr>
        <w:t>3</w:t>
      </w:r>
      <w:r>
        <w:rPr>
          <w:rFonts w:ascii="Times New Roman" w:hAnsi="Times New Roman"/>
          <w:sz w:val="28"/>
          <w:szCs w:val="28"/>
        </w:rPr>
        <w:t xml:space="preserve"> млн</w:t>
      </w:r>
      <w:r w:rsidRPr="00241036">
        <w:rPr>
          <w:rFonts w:ascii="Times New Roman" w:hAnsi="Times New Roman"/>
          <w:sz w:val="28"/>
          <w:szCs w:val="28"/>
        </w:rPr>
        <w:t>. руб</w:t>
      </w:r>
      <w:r>
        <w:rPr>
          <w:rFonts w:ascii="Times New Roman" w:hAnsi="Times New Roman"/>
          <w:sz w:val="28"/>
          <w:szCs w:val="28"/>
        </w:rPr>
        <w:t>. в</w:t>
      </w:r>
      <w:r w:rsidRPr="00241036">
        <w:rPr>
          <w:rFonts w:ascii="Times New Roman" w:hAnsi="Times New Roman"/>
          <w:sz w:val="28"/>
          <w:szCs w:val="28"/>
        </w:rPr>
        <w:t xml:space="preserve"> рамках Соглашения о предоставлении в 2022 году муниципальному образованию «Бабушкинский муниципальный район» субсидии на осуществление дорожной деятельности для обеспечения подъездов к земельным участкам, предоставляемым отдельным категориям граждан, за счет бюджетных ассигнований Дорожного фонда Вологодской области.</w:t>
      </w:r>
    </w:p>
    <w:p w:rsidR="00EF1B98" w:rsidRPr="00287BD1" w:rsidRDefault="00EF1B98" w:rsidP="00EF1B98">
      <w:pPr>
        <w:shd w:val="clear" w:color="auto" w:fill="FFFFFF"/>
        <w:suppressAutoHyphens/>
        <w:spacing w:after="0" w:line="240" w:lineRule="auto"/>
        <w:ind w:firstLine="709"/>
        <w:contextualSpacing/>
        <w:jc w:val="both"/>
        <w:rPr>
          <w:rFonts w:ascii="Times New Roman" w:hAnsi="Times New Roman"/>
          <w:sz w:val="28"/>
          <w:szCs w:val="28"/>
        </w:rPr>
      </w:pPr>
      <w:r w:rsidRPr="00241036">
        <w:rPr>
          <w:rFonts w:ascii="Times New Roman" w:hAnsi="Times New Roman"/>
          <w:sz w:val="28"/>
          <w:szCs w:val="28"/>
        </w:rPr>
        <w:t>Текущее содержание автомобильных дорог общего пользования местного значения</w:t>
      </w:r>
      <w:r>
        <w:rPr>
          <w:rFonts w:ascii="Times New Roman" w:hAnsi="Times New Roman"/>
          <w:sz w:val="28"/>
          <w:szCs w:val="28"/>
        </w:rPr>
        <w:t xml:space="preserve"> в 2022 году осуществлялось</w:t>
      </w:r>
      <w:r w:rsidRPr="00241036">
        <w:rPr>
          <w:rFonts w:ascii="Times New Roman" w:hAnsi="Times New Roman"/>
          <w:sz w:val="28"/>
          <w:szCs w:val="28"/>
        </w:rPr>
        <w:t xml:space="preserve"> за счет бюджета Бабушкинск</w:t>
      </w:r>
      <w:r w:rsidRPr="00287BD1">
        <w:rPr>
          <w:rFonts w:ascii="Times New Roman" w:hAnsi="Times New Roman"/>
          <w:sz w:val="28"/>
          <w:szCs w:val="28"/>
        </w:rPr>
        <w:t xml:space="preserve">ого муниципального района </w:t>
      </w:r>
      <w:r>
        <w:rPr>
          <w:rFonts w:ascii="Times New Roman" w:hAnsi="Times New Roman"/>
          <w:sz w:val="28"/>
          <w:szCs w:val="28"/>
        </w:rPr>
        <w:t xml:space="preserve">на общую сумму </w:t>
      </w:r>
      <w:r w:rsidRPr="00287BD1">
        <w:rPr>
          <w:rFonts w:ascii="Times New Roman" w:hAnsi="Times New Roman"/>
          <w:sz w:val="28"/>
          <w:szCs w:val="28"/>
        </w:rPr>
        <w:t>17</w:t>
      </w:r>
      <w:r>
        <w:rPr>
          <w:rFonts w:ascii="Times New Roman" w:hAnsi="Times New Roman"/>
          <w:sz w:val="28"/>
          <w:szCs w:val="28"/>
        </w:rPr>
        <w:t xml:space="preserve"> </w:t>
      </w:r>
      <w:r w:rsidRPr="00287BD1">
        <w:rPr>
          <w:rFonts w:ascii="Times New Roman" w:hAnsi="Times New Roman"/>
          <w:sz w:val="28"/>
          <w:szCs w:val="28"/>
        </w:rPr>
        <w:t>7</w:t>
      </w:r>
      <w:r>
        <w:rPr>
          <w:rFonts w:ascii="Times New Roman" w:hAnsi="Times New Roman"/>
          <w:sz w:val="28"/>
          <w:szCs w:val="28"/>
        </w:rPr>
        <w:t>00</w:t>
      </w:r>
      <w:r w:rsidRPr="00287BD1">
        <w:rPr>
          <w:rFonts w:ascii="Times New Roman" w:hAnsi="Times New Roman"/>
          <w:sz w:val="28"/>
          <w:szCs w:val="28"/>
        </w:rPr>
        <w:t xml:space="preserve"> </w:t>
      </w:r>
      <w:r>
        <w:rPr>
          <w:rFonts w:ascii="Times New Roman" w:hAnsi="Times New Roman"/>
          <w:sz w:val="28"/>
          <w:szCs w:val="28"/>
        </w:rPr>
        <w:t>тыс</w:t>
      </w:r>
      <w:r w:rsidRPr="00287BD1">
        <w:rPr>
          <w:rFonts w:ascii="Times New Roman" w:hAnsi="Times New Roman"/>
          <w:sz w:val="28"/>
          <w:szCs w:val="28"/>
        </w:rPr>
        <w:t>. руб</w:t>
      </w:r>
      <w:r>
        <w:rPr>
          <w:rFonts w:ascii="Times New Roman" w:hAnsi="Times New Roman"/>
          <w:sz w:val="28"/>
          <w:szCs w:val="28"/>
        </w:rPr>
        <w:t>.</w:t>
      </w:r>
    </w:p>
    <w:p w:rsidR="00EF1B98" w:rsidRPr="00287BD1" w:rsidRDefault="00EF1B98" w:rsidP="00EF1B98">
      <w:pPr>
        <w:spacing w:after="0" w:line="240" w:lineRule="auto"/>
        <w:ind w:firstLine="540"/>
        <w:jc w:val="both"/>
        <w:rPr>
          <w:rFonts w:ascii="Times New Roman" w:hAnsi="Times New Roman"/>
          <w:b/>
          <w:sz w:val="28"/>
          <w:szCs w:val="28"/>
        </w:rPr>
      </w:pPr>
      <w:r w:rsidRPr="00287BD1">
        <w:rPr>
          <w:rFonts w:ascii="Times New Roman" w:hAnsi="Times New Roman"/>
          <w:b/>
          <w:sz w:val="28"/>
          <w:szCs w:val="28"/>
        </w:rPr>
        <w:t>Благоустройство:</w:t>
      </w:r>
    </w:p>
    <w:p w:rsidR="00EF1B98" w:rsidRDefault="00EF1B98" w:rsidP="00EF1B98">
      <w:pPr>
        <w:spacing w:after="0" w:line="240" w:lineRule="auto"/>
        <w:ind w:firstLine="540"/>
        <w:jc w:val="both"/>
        <w:rPr>
          <w:rFonts w:ascii="Times New Roman" w:hAnsi="Times New Roman"/>
          <w:sz w:val="28"/>
          <w:szCs w:val="28"/>
        </w:rPr>
      </w:pPr>
      <w:r w:rsidRPr="00287BD1">
        <w:rPr>
          <w:rFonts w:ascii="Times New Roman" w:hAnsi="Times New Roman"/>
          <w:sz w:val="28"/>
          <w:szCs w:val="28"/>
        </w:rPr>
        <w:t>В 2022 году продолжалась реализация проекта «Формирование современной городской среды на 2018-2024 годы».  Произведено благоустройство одной дворовой территории по адресу: с.им.Бабушкина ул. Первомайская, д.16 общей стоимостью   1,1 млн. руб.  В рамках реализации проекта выполнено асфальтирование   проезда дворовой территории с устройством бордюрного камня. Работы выполнены в полном объеме</w:t>
      </w:r>
      <w:r>
        <w:rPr>
          <w:rFonts w:ascii="Times New Roman" w:hAnsi="Times New Roman"/>
          <w:sz w:val="28"/>
          <w:szCs w:val="28"/>
        </w:rPr>
        <w:t>.</w:t>
      </w:r>
    </w:p>
    <w:p w:rsidR="00641D78" w:rsidRPr="00287BD1" w:rsidRDefault="00641D78" w:rsidP="00EF1B98">
      <w:pPr>
        <w:spacing w:after="0" w:line="240" w:lineRule="auto"/>
        <w:ind w:firstLine="540"/>
        <w:jc w:val="both"/>
        <w:rPr>
          <w:rFonts w:ascii="Times New Roman" w:hAnsi="Times New Roman"/>
          <w:sz w:val="28"/>
          <w:szCs w:val="28"/>
        </w:rPr>
      </w:pPr>
    </w:p>
    <w:bookmarkEnd w:id="9"/>
    <w:p w:rsidR="00641D78" w:rsidRDefault="00C34110" w:rsidP="00641D78">
      <w:pPr>
        <w:spacing w:after="0" w:line="240" w:lineRule="auto"/>
        <w:rPr>
          <w:rFonts w:ascii="Times New Roman" w:hAnsi="Times New Roman"/>
          <w:sz w:val="28"/>
          <w:szCs w:val="28"/>
        </w:rPr>
      </w:pPr>
      <w:r>
        <w:rPr>
          <w:rFonts w:ascii="Times New Roman" w:hAnsi="Times New Roman"/>
          <w:sz w:val="28"/>
          <w:szCs w:val="28"/>
        </w:rPr>
        <w:t xml:space="preserve">Начальник </w:t>
      </w:r>
      <w:r w:rsidR="00641D78">
        <w:rPr>
          <w:rFonts w:ascii="Times New Roman" w:hAnsi="Times New Roman"/>
          <w:sz w:val="28"/>
          <w:szCs w:val="28"/>
        </w:rPr>
        <w:t>отдела экономики и отраслевого</w:t>
      </w:r>
    </w:p>
    <w:p w:rsidR="00C0686E" w:rsidRPr="00C0686E" w:rsidRDefault="00641D78" w:rsidP="00641D78">
      <w:pPr>
        <w:spacing w:after="0" w:line="240" w:lineRule="auto"/>
        <w:rPr>
          <w:rFonts w:ascii="Times New Roman" w:hAnsi="Times New Roman"/>
          <w:sz w:val="28"/>
          <w:szCs w:val="28"/>
        </w:rPr>
      </w:pPr>
      <w:r>
        <w:rPr>
          <w:rFonts w:ascii="Times New Roman" w:hAnsi="Times New Roman"/>
          <w:sz w:val="28"/>
          <w:szCs w:val="28"/>
        </w:rPr>
        <w:t xml:space="preserve">развития                                                            </w:t>
      </w:r>
      <w:r w:rsidR="00C34110">
        <w:rPr>
          <w:rFonts w:ascii="Times New Roman" w:hAnsi="Times New Roman"/>
          <w:sz w:val="28"/>
          <w:szCs w:val="28"/>
        </w:rPr>
        <w:t xml:space="preserve">                                               Н.Н. Попова</w:t>
      </w:r>
    </w:p>
    <w:sectPr w:rsidR="00C0686E" w:rsidRPr="00C0686E" w:rsidSect="00194949">
      <w:pgSz w:w="11906" w:h="16838"/>
      <w:pgMar w:top="567" w:right="709"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9521F"/>
    <w:multiLevelType w:val="hybridMultilevel"/>
    <w:tmpl w:val="4D1455C8"/>
    <w:lvl w:ilvl="0" w:tplc="0419000B">
      <w:start w:val="1"/>
      <w:numFmt w:val="bullet"/>
      <w:lvlText w:val=""/>
      <w:lvlJc w:val="left"/>
      <w:pPr>
        <w:ind w:left="1202" w:hanging="360"/>
      </w:pPr>
      <w:rPr>
        <w:rFonts w:ascii="Wingdings" w:hAnsi="Wingdings"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1">
    <w:nsid w:val="192560F2"/>
    <w:multiLevelType w:val="hybridMultilevel"/>
    <w:tmpl w:val="C9EE23B4"/>
    <w:lvl w:ilvl="0" w:tplc="0419000B">
      <w:start w:val="1"/>
      <w:numFmt w:val="bullet"/>
      <w:lvlText w:val=""/>
      <w:lvlJc w:val="left"/>
      <w:pPr>
        <w:ind w:left="1202" w:hanging="360"/>
      </w:pPr>
      <w:rPr>
        <w:rFonts w:ascii="Wingdings" w:hAnsi="Wingdings"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2">
    <w:nsid w:val="2A9E3545"/>
    <w:multiLevelType w:val="hybridMultilevel"/>
    <w:tmpl w:val="CCC2AD22"/>
    <w:lvl w:ilvl="0" w:tplc="0419000B">
      <w:start w:val="1"/>
      <w:numFmt w:val="bullet"/>
      <w:lvlText w:val=""/>
      <w:lvlJc w:val="left"/>
      <w:pPr>
        <w:ind w:left="1202" w:hanging="360"/>
      </w:pPr>
      <w:rPr>
        <w:rFonts w:ascii="Wingdings" w:hAnsi="Wingdings"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20"/>
  <w:displayHorizontalDrawingGridEvery w:val="0"/>
  <w:displayVerticalDrawingGridEvery w:val="2"/>
  <w:characterSpacingControl w:val="doNotCompress"/>
  <w:compat>
    <w:compatSetting w:name="compatibilityMode" w:uri="http://schemas.microsoft.com/office/word" w:val="12"/>
  </w:compat>
  <w:rsids>
    <w:rsidRoot w:val="00E258F2"/>
    <w:rsid w:val="00025FB8"/>
    <w:rsid w:val="000A7645"/>
    <w:rsid w:val="00194949"/>
    <w:rsid w:val="001954FB"/>
    <w:rsid w:val="001A48FE"/>
    <w:rsid w:val="001D305F"/>
    <w:rsid w:val="002F5435"/>
    <w:rsid w:val="002F6064"/>
    <w:rsid w:val="0033757B"/>
    <w:rsid w:val="003810CF"/>
    <w:rsid w:val="003A70C2"/>
    <w:rsid w:val="003B41F5"/>
    <w:rsid w:val="00496543"/>
    <w:rsid w:val="00641D78"/>
    <w:rsid w:val="006B7790"/>
    <w:rsid w:val="00726CE6"/>
    <w:rsid w:val="007B6111"/>
    <w:rsid w:val="008731A1"/>
    <w:rsid w:val="008F72D4"/>
    <w:rsid w:val="00944E0A"/>
    <w:rsid w:val="009C0AF7"/>
    <w:rsid w:val="00A47517"/>
    <w:rsid w:val="00A652E3"/>
    <w:rsid w:val="00AD09BE"/>
    <w:rsid w:val="00C0686E"/>
    <w:rsid w:val="00C34110"/>
    <w:rsid w:val="00CE07AB"/>
    <w:rsid w:val="00D365AE"/>
    <w:rsid w:val="00D828E4"/>
    <w:rsid w:val="00DB6810"/>
    <w:rsid w:val="00E258F2"/>
    <w:rsid w:val="00EA0E85"/>
    <w:rsid w:val="00EE1153"/>
    <w:rsid w:val="00EE3AE1"/>
    <w:rsid w:val="00EF1B98"/>
    <w:rsid w:val="00F27135"/>
    <w:rsid w:val="00F718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294CCE-0A3A-4153-AAB7-A8E1E8789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CE6"/>
    <w:pPr>
      <w:spacing w:after="200" w:line="276" w:lineRule="auto"/>
    </w:pPr>
    <w:rPr>
      <w:rFonts w:ascii="Calibri" w:eastAsia="Calibri" w:hAnsi="Calibri" w:cs="Times New Roman"/>
    </w:rPr>
  </w:style>
  <w:style w:type="paragraph" w:styleId="1">
    <w:name w:val="heading 1"/>
    <w:aliases w:val="Heading 1 Char,Head 1,????????? 1"/>
    <w:basedOn w:val="a"/>
    <w:next w:val="a"/>
    <w:link w:val="10"/>
    <w:qFormat/>
    <w:rsid w:val="00726CE6"/>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726CE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qFormat/>
    <w:rsid w:val="00726CE6"/>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
    <w:next w:val="a"/>
    <w:link w:val="40"/>
    <w:uiPriority w:val="9"/>
    <w:semiHidden/>
    <w:unhideWhenUsed/>
    <w:qFormat/>
    <w:rsid w:val="00726CE6"/>
    <w:pPr>
      <w:keepNext/>
      <w:keepLines/>
      <w:spacing w:before="200" w:after="0"/>
      <w:outlineLvl w:val="3"/>
    </w:pPr>
    <w:rPr>
      <w:rFonts w:ascii="Cambria" w:eastAsia="Times New Roman" w:hAnsi="Cambria"/>
      <w:b/>
      <w:bCs/>
      <w:i/>
      <w:i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Head 1 Знак,????????? 1 Знак"/>
    <w:basedOn w:val="a0"/>
    <w:link w:val="1"/>
    <w:rsid w:val="00726CE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726CE6"/>
    <w:rPr>
      <w:rFonts w:ascii="Cambria" w:eastAsia="Times New Roman" w:hAnsi="Cambria" w:cs="Times New Roman"/>
      <w:b/>
      <w:bCs/>
      <w:color w:val="4F81BD"/>
      <w:sz w:val="26"/>
      <w:szCs w:val="26"/>
    </w:rPr>
  </w:style>
  <w:style w:type="character" w:customStyle="1" w:styleId="30">
    <w:name w:val="Заголовок 3 Знак"/>
    <w:basedOn w:val="a0"/>
    <w:link w:val="3"/>
    <w:rsid w:val="00726CE6"/>
    <w:rPr>
      <w:rFonts w:ascii="Arial" w:eastAsia="Times New Roman" w:hAnsi="Arial" w:cs="Times New Roman"/>
      <w:b/>
      <w:bCs/>
      <w:sz w:val="26"/>
      <w:szCs w:val="26"/>
      <w:lang w:eastAsia="ru-RU"/>
    </w:rPr>
  </w:style>
  <w:style w:type="character" w:customStyle="1" w:styleId="40">
    <w:name w:val="Заголовок 4 Знак"/>
    <w:basedOn w:val="a0"/>
    <w:link w:val="4"/>
    <w:uiPriority w:val="9"/>
    <w:semiHidden/>
    <w:rsid w:val="00726CE6"/>
    <w:rPr>
      <w:rFonts w:ascii="Cambria" w:eastAsia="Times New Roman" w:hAnsi="Cambria" w:cs="Times New Roman"/>
      <w:b/>
      <w:bCs/>
      <w:i/>
      <w:iCs/>
      <w:color w:val="4F81BD"/>
      <w:sz w:val="20"/>
      <w:szCs w:val="20"/>
    </w:rPr>
  </w:style>
  <w:style w:type="paragraph" w:styleId="a3">
    <w:name w:val="Normal (Web)"/>
    <w:basedOn w:val="a"/>
    <w:uiPriority w:val="99"/>
    <w:rsid w:val="00726CE6"/>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726CE6"/>
    <w:rPr>
      <w:b/>
      <w:bCs/>
    </w:rPr>
  </w:style>
  <w:style w:type="paragraph" w:styleId="a5">
    <w:name w:val="Balloon Text"/>
    <w:basedOn w:val="a"/>
    <w:link w:val="a6"/>
    <w:uiPriority w:val="99"/>
    <w:semiHidden/>
    <w:unhideWhenUsed/>
    <w:rsid w:val="00726CE6"/>
    <w:pPr>
      <w:spacing w:after="0" w:line="240" w:lineRule="auto"/>
    </w:pPr>
    <w:rPr>
      <w:rFonts w:ascii="Tahoma" w:hAnsi="Tahoma"/>
      <w:sz w:val="16"/>
      <w:szCs w:val="16"/>
    </w:rPr>
  </w:style>
  <w:style w:type="character" w:customStyle="1" w:styleId="a6">
    <w:name w:val="Текст выноски Знак"/>
    <w:basedOn w:val="a0"/>
    <w:link w:val="a5"/>
    <w:uiPriority w:val="99"/>
    <w:semiHidden/>
    <w:rsid w:val="00726CE6"/>
    <w:rPr>
      <w:rFonts w:ascii="Tahoma" w:eastAsia="Calibri" w:hAnsi="Tahoma" w:cs="Times New Roman"/>
      <w:sz w:val="16"/>
      <w:szCs w:val="16"/>
    </w:rPr>
  </w:style>
  <w:style w:type="character" w:styleId="a7">
    <w:name w:val="Book Title"/>
    <w:uiPriority w:val="33"/>
    <w:qFormat/>
    <w:rsid w:val="00726CE6"/>
    <w:rPr>
      <w:b/>
      <w:bCs/>
      <w:smallCaps/>
      <w:spacing w:val="5"/>
    </w:rPr>
  </w:style>
  <w:style w:type="paragraph" w:styleId="a8">
    <w:name w:val="List Paragraph"/>
    <w:basedOn w:val="a"/>
    <w:uiPriority w:val="34"/>
    <w:qFormat/>
    <w:rsid w:val="00726CE6"/>
    <w:pPr>
      <w:ind w:left="720"/>
      <w:contextualSpacing/>
    </w:pPr>
  </w:style>
  <w:style w:type="paragraph" w:customStyle="1" w:styleId="11">
    <w:name w:val="Абзац списка1"/>
    <w:basedOn w:val="a"/>
    <w:uiPriority w:val="34"/>
    <w:qFormat/>
    <w:rsid w:val="00726CE6"/>
    <w:pPr>
      <w:ind w:left="720"/>
    </w:pPr>
    <w:rPr>
      <w:rFonts w:eastAsia="Times New Roman"/>
    </w:rPr>
  </w:style>
  <w:style w:type="paragraph" w:customStyle="1" w:styleId="ConsPlusNormal">
    <w:name w:val="ConsPlusNormal"/>
    <w:uiPriority w:val="99"/>
    <w:rsid w:val="00726C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a"/>
    <w:link w:val="aa"/>
    <w:rsid w:val="00726CE6"/>
    <w:pPr>
      <w:widowControl w:val="0"/>
      <w:autoSpaceDE w:val="0"/>
      <w:autoSpaceDN w:val="0"/>
      <w:adjustRightInd w:val="0"/>
      <w:spacing w:after="120" w:line="240" w:lineRule="auto"/>
      <w:ind w:left="283"/>
    </w:pPr>
    <w:rPr>
      <w:rFonts w:ascii="Times New Roman" w:eastAsia="Times New Roman" w:hAnsi="Times New Roman"/>
      <w:sz w:val="20"/>
      <w:szCs w:val="20"/>
      <w:lang w:eastAsia="ru-RU"/>
    </w:rPr>
  </w:style>
  <w:style w:type="character" w:customStyle="1" w:styleId="aa">
    <w:name w:val="Основной текст с отступом Знак"/>
    <w:basedOn w:val="a0"/>
    <w:link w:val="a9"/>
    <w:rsid w:val="00726CE6"/>
    <w:rPr>
      <w:rFonts w:ascii="Times New Roman" w:eastAsia="Times New Roman" w:hAnsi="Times New Roman" w:cs="Times New Roman"/>
      <w:sz w:val="20"/>
      <w:szCs w:val="20"/>
      <w:lang w:eastAsia="ru-RU"/>
    </w:rPr>
  </w:style>
  <w:style w:type="paragraph" w:customStyle="1" w:styleId="ab">
    <w:name w:val="Знак"/>
    <w:basedOn w:val="a"/>
    <w:rsid w:val="00726CE6"/>
    <w:pPr>
      <w:spacing w:after="0" w:line="240" w:lineRule="auto"/>
    </w:pPr>
    <w:rPr>
      <w:rFonts w:ascii="Verdana" w:eastAsia="Times New Roman" w:hAnsi="Verdana" w:cs="Verdana"/>
      <w:sz w:val="20"/>
      <w:szCs w:val="20"/>
      <w:lang w:val="en-US"/>
    </w:rPr>
  </w:style>
  <w:style w:type="paragraph" w:styleId="21">
    <w:name w:val="Body Text Indent 2"/>
    <w:basedOn w:val="a"/>
    <w:link w:val="22"/>
    <w:uiPriority w:val="99"/>
    <w:semiHidden/>
    <w:unhideWhenUsed/>
    <w:rsid w:val="00726CE6"/>
    <w:pPr>
      <w:spacing w:after="120" w:line="480" w:lineRule="auto"/>
      <w:ind w:left="283"/>
    </w:pPr>
  </w:style>
  <w:style w:type="character" w:customStyle="1" w:styleId="22">
    <w:name w:val="Основной текст с отступом 2 Знак"/>
    <w:basedOn w:val="a0"/>
    <w:link w:val="21"/>
    <w:uiPriority w:val="99"/>
    <w:semiHidden/>
    <w:rsid w:val="00726CE6"/>
    <w:rPr>
      <w:rFonts w:ascii="Calibri" w:eastAsia="Calibri" w:hAnsi="Calibri" w:cs="Times New Roman"/>
    </w:rPr>
  </w:style>
  <w:style w:type="paragraph" w:styleId="ac">
    <w:name w:val="header"/>
    <w:basedOn w:val="a"/>
    <w:link w:val="ad"/>
    <w:uiPriority w:val="99"/>
    <w:rsid w:val="00726CE6"/>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Верхний колонтитул Знак"/>
    <w:basedOn w:val="a0"/>
    <w:link w:val="ac"/>
    <w:uiPriority w:val="99"/>
    <w:rsid w:val="00726CE6"/>
    <w:rPr>
      <w:rFonts w:ascii="Times New Roman" w:eastAsia="Times New Roman" w:hAnsi="Times New Roman" w:cs="Times New Roman"/>
      <w:sz w:val="24"/>
      <w:szCs w:val="24"/>
      <w:lang w:eastAsia="ru-RU"/>
    </w:rPr>
  </w:style>
  <w:style w:type="paragraph" w:styleId="ae">
    <w:name w:val="Body Text"/>
    <w:basedOn w:val="a"/>
    <w:link w:val="af"/>
    <w:rsid w:val="00726CE6"/>
    <w:pPr>
      <w:spacing w:after="120" w:line="240" w:lineRule="auto"/>
    </w:pPr>
    <w:rPr>
      <w:rFonts w:eastAsia="Times New Roman"/>
      <w:sz w:val="24"/>
      <w:szCs w:val="24"/>
      <w:lang w:val="en-US" w:bidi="en-US"/>
    </w:rPr>
  </w:style>
  <w:style w:type="character" w:customStyle="1" w:styleId="af">
    <w:name w:val="Основной текст Знак"/>
    <w:basedOn w:val="a0"/>
    <w:link w:val="ae"/>
    <w:rsid w:val="00726CE6"/>
    <w:rPr>
      <w:rFonts w:ascii="Calibri" w:eastAsia="Times New Roman" w:hAnsi="Calibri" w:cs="Times New Roman"/>
      <w:sz w:val="24"/>
      <w:szCs w:val="24"/>
      <w:lang w:val="en-US" w:bidi="en-US"/>
    </w:rPr>
  </w:style>
  <w:style w:type="paragraph" w:styleId="HTML">
    <w:name w:val="HTML Preformatted"/>
    <w:basedOn w:val="a"/>
    <w:link w:val="HTML0"/>
    <w:rsid w:val="00726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rsid w:val="00726CE6"/>
    <w:rPr>
      <w:rFonts w:ascii="Courier New" w:eastAsia="Times New Roman" w:hAnsi="Courier New" w:cs="Times New Roman"/>
      <w:sz w:val="20"/>
      <w:szCs w:val="20"/>
      <w:lang w:eastAsia="ru-RU"/>
    </w:rPr>
  </w:style>
  <w:style w:type="paragraph" w:customStyle="1" w:styleId="ConsPlusTitle">
    <w:name w:val="ConsPlusTitle"/>
    <w:rsid w:val="00726CE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726CE6"/>
    <w:pPr>
      <w:spacing w:before="60" w:after="100" w:line="240" w:lineRule="auto"/>
      <w:ind w:left="60" w:right="60" w:firstLine="400"/>
      <w:jc w:val="both"/>
    </w:pPr>
    <w:rPr>
      <w:rFonts w:ascii="Times New Roman" w:eastAsia="Times New Roman" w:hAnsi="Times New Roman"/>
      <w:sz w:val="18"/>
      <w:szCs w:val="18"/>
      <w:lang w:eastAsia="ru-RU"/>
    </w:rPr>
  </w:style>
  <w:style w:type="paragraph" w:customStyle="1" w:styleId="Default">
    <w:name w:val="Default"/>
    <w:rsid w:val="00726CE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0">
    <w:name w:val="Знак Знак Знак Знак Знак Знак Знак"/>
    <w:basedOn w:val="a"/>
    <w:rsid w:val="00726CE6"/>
    <w:pPr>
      <w:spacing w:before="100" w:beforeAutospacing="1" w:after="100" w:afterAutospacing="1" w:line="240" w:lineRule="auto"/>
    </w:pPr>
    <w:rPr>
      <w:rFonts w:ascii="Tahoma" w:eastAsia="Times New Roman" w:hAnsi="Tahoma"/>
      <w:sz w:val="20"/>
      <w:szCs w:val="20"/>
      <w:lang w:val="en-US"/>
    </w:rPr>
  </w:style>
  <w:style w:type="paragraph" w:customStyle="1" w:styleId="ConsPlusNonformat">
    <w:name w:val="ConsPlusNonformat"/>
    <w:link w:val="ConsPlusNonformat0"/>
    <w:rsid w:val="00726C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1">
    <w:name w:val="Table Grid"/>
    <w:basedOn w:val="a1"/>
    <w:uiPriority w:val="39"/>
    <w:rsid w:val="00726CE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Hyperlink"/>
    <w:unhideWhenUsed/>
    <w:rsid w:val="00726CE6"/>
    <w:rPr>
      <w:color w:val="0000FF"/>
      <w:u w:val="single"/>
    </w:rPr>
  </w:style>
  <w:style w:type="paragraph" w:styleId="af3">
    <w:name w:val="footer"/>
    <w:basedOn w:val="a"/>
    <w:link w:val="af4"/>
    <w:uiPriority w:val="99"/>
    <w:unhideWhenUsed/>
    <w:rsid w:val="00726CE6"/>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26CE6"/>
    <w:rPr>
      <w:rFonts w:ascii="Calibri" w:eastAsia="Calibri" w:hAnsi="Calibri" w:cs="Times New Roman"/>
    </w:rPr>
  </w:style>
  <w:style w:type="paragraph" w:styleId="af5">
    <w:name w:val="TOC Heading"/>
    <w:basedOn w:val="1"/>
    <w:next w:val="a"/>
    <w:uiPriority w:val="39"/>
    <w:semiHidden/>
    <w:unhideWhenUsed/>
    <w:qFormat/>
    <w:rsid w:val="00726CE6"/>
    <w:pPr>
      <w:outlineLvl w:val="9"/>
    </w:pPr>
    <w:rPr>
      <w:lang w:eastAsia="ru-RU"/>
    </w:rPr>
  </w:style>
  <w:style w:type="paragraph" w:styleId="12">
    <w:name w:val="toc 1"/>
    <w:basedOn w:val="a"/>
    <w:next w:val="a"/>
    <w:autoRedefine/>
    <w:uiPriority w:val="39"/>
    <w:unhideWhenUsed/>
    <w:rsid w:val="00726CE6"/>
    <w:pPr>
      <w:tabs>
        <w:tab w:val="right" w:leader="dot" w:pos="9345"/>
      </w:tabs>
      <w:spacing w:after="100"/>
    </w:pPr>
    <w:rPr>
      <w:rFonts w:ascii="Times New Roman" w:hAnsi="Times New Roman"/>
      <w:b/>
      <w:noProof/>
    </w:rPr>
  </w:style>
  <w:style w:type="character" w:customStyle="1" w:styleId="41">
    <w:name w:val="Основной текст (4)_"/>
    <w:link w:val="42"/>
    <w:locked/>
    <w:rsid w:val="00726CE6"/>
    <w:rPr>
      <w:sz w:val="27"/>
      <w:szCs w:val="27"/>
      <w:shd w:val="clear" w:color="auto" w:fill="FFFFFF"/>
    </w:rPr>
  </w:style>
  <w:style w:type="paragraph" w:customStyle="1" w:styleId="42">
    <w:name w:val="Основной текст (4)"/>
    <w:basedOn w:val="a"/>
    <w:link w:val="41"/>
    <w:rsid w:val="00726CE6"/>
    <w:pPr>
      <w:shd w:val="clear" w:color="auto" w:fill="FFFFFF"/>
      <w:spacing w:after="0" w:line="0" w:lineRule="atLeast"/>
      <w:ind w:hanging="400"/>
    </w:pPr>
    <w:rPr>
      <w:rFonts w:asciiTheme="minorHAnsi" w:eastAsiaTheme="minorHAnsi" w:hAnsiTheme="minorHAnsi" w:cstheme="minorBidi"/>
      <w:sz w:val="27"/>
      <w:szCs w:val="27"/>
    </w:rPr>
  </w:style>
  <w:style w:type="paragraph" w:customStyle="1" w:styleId="Standard">
    <w:name w:val="Standard"/>
    <w:rsid w:val="00726CE6"/>
    <w:pPr>
      <w:suppressAutoHyphens/>
      <w:spacing w:after="0" w:line="240" w:lineRule="auto"/>
      <w:textAlignment w:val="baseline"/>
    </w:pPr>
    <w:rPr>
      <w:rFonts w:ascii="Times New Roman" w:eastAsia="MS Mincho" w:hAnsi="Times New Roman" w:cs="Times New Roman"/>
      <w:kern w:val="1"/>
      <w:sz w:val="24"/>
      <w:szCs w:val="24"/>
      <w:lang w:eastAsia="ar-SA"/>
    </w:rPr>
  </w:style>
  <w:style w:type="character" w:customStyle="1" w:styleId="mw-headline">
    <w:name w:val="mw-headline"/>
    <w:rsid w:val="00726CE6"/>
    <w:rPr>
      <w:rFonts w:cs="Times New Roman"/>
    </w:rPr>
  </w:style>
  <w:style w:type="paragraph" w:customStyle="1" w:styleId="western">
    <w:name w:val="western"/>
    <w:basedOn w:val="a"/>
    <w:uiPriority w:val="99"/>
    <w:rsid w:val="00726CE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6">
    <w:name w:val="Основной текст_"/>
    <w:link w:val="120"/>
    <w:rsid w:val="00726CE6"/>
    <w:rPr>
      <w:rFonts w:ascii="Calibri" w:eastAsia="Calibri" w:hAnsi="Calibri" w:cs="Calibri"/>
      <w:sz w:val="27"/>
      <w:szCs w:val="27"/>
      <w:shd w:val="clear" w:color="auto" w:fill="FFFFFF"/>
    </w:rPr>
  </w:style>
  <w:style w:type="paragraph" w:customStyle="1" w:styleId="120">
    <w:name w:val="Основной текст12"/>
    <w:basedOn w:val="a"/>
    <w:link w:val="af6"/>
    <w:rsid w:val="00726CE6"/>
    <w:pPr>
      <w:shd w:val="clear" w:color="auto" w:fill="FFFFFF"/>
      <w:spacing w:after="0" w:line="0" w:lineRule="atLeast"/>
    </w:pPr>
    <w:rPr>
      <w:rFonts w:cs="Calibri"/>
      <w:sz w:val="27"/>
      <w:szCs w:val="27"/>
    </w:rPr>
  </w:style>
  <w:style w:type="character" w:customStyle="1" w:styleId="5">
    <w:name w:val="Основной текст5"/>
    <w:rsid w:val="00726CE6"/>
  </w:style>
  <w:style w:type="character" w:customStyle="1" w:styleId="af7">
    <w:name w:val="Основной текст + Полужирный"/>
    <w:rsid w:val="00726CE6"/>
    <w:rPr>
      <w:rFonts w:ascii="Calibri" w:eastAsia="Calibri" w:hAnsi="Calibri" w:cs="Calibri"/>
      <w:b/>
      <w:bCs/>
      <w:sz w:val="27"/>
      <w:szCs w:val="27"/>
      <w:shd w:val="clear" w:color="auto" w:fill="FFFFFF"/>
    </w:rPr>
  </w:style>
  <w:style w:type="character" w:customStyle="1" w:styleId="19">
    <w:name w:val="Основной текст (19)"/>
    <w:rsid w:val="00726CE6"/>
    <w:rPr>
      <w:rFonts w:ascii="Calibri" w:eastAsia="Calibri" w:hAnsi="Calibri" w:cs="Calibri" w:hint="default"/>
      <w:b w:val="0"/>
      <w:bCs w:val="0"/>
      <w:i w:val="0"/>
      <w:iCs w:val="0"/>
      <w:smallCaps w:val="0"/>
      <w:strike w:val="0"/>
      <w:dstrike w:val="0"/>
      <w:spacing w:val="0"/>
      <w:sz w:val="27"/>
      <w:szCs w:val="27"/>
      <w:u w:val="none"/>
      <w:effect w:val="none"/>
    </w:rPr>
  </w:style>
  <w:style w:type="character" w:customStyle="1" w:styleId="190">
    <w:name w:val="Основной текст (19) + Не полужирный"/>
    <w:rsid w:val="00726CE6"/>
    <w:rPr>
      <w:rFonts w:ascii="Calibri" w:eastAsia="Calibri" w:hAnsi="Calibri" w:cs="Calibri" w:hint="default"/>
      <w:b/>
      <w:bCs/>
      <w:i w:val="0"/>
      <w:iCs w:val="0"/>
      <w:smallCaps w:val="0"/>
      <w:strike w:val="0"/>
      <w:dstrike w:val="0"/>
      <w:spacing w:val="0"/>
      <w:sz w:val="27"/>
      <w:szCs w:val="27"/>
      <w:u w:val="none"/>
      <w:effect w:val="none"/>
    </w:rPr>
  </w:style>
  <w:style w:type="character" w:customStyle="1" w:styleId="32">
    <w:name w:val="Заголовок №3 (2)"/>
    <w:rsid w:val="00726CE6"/>
    <w:rPr>
      <w:rFonts w:ascii="Calibri" w:eastAsia="Calibri" w:hAnsi="Calibri" w:cs="Calibri" w:hint="default"/>
      <w:b w:val="0"/>
      <w:bCs w:val="0"/>
      <w:i w:val="0"/>
      <w:iCs w:val="0"/>
      <w:smallCaps w:val="0"/>
      <w:strike w:val="0"/>
      <w:dstrike w:val="0"/>
      <w:spacing w:val="0"/>
      <w:sz w:val="27"/>
      <w:szCs w:val="27"/>
      <w:u w:val="none"/>
      <w:effect w:val="none"/>
    </w:rPr>
  </w:style>
  <w:style w:type="paragraph" w:styleId="23">
    <w:name w:val="toc 2"/>
    <w:basedOn w:val="a"/>
    <w:next w:val="a"/>
    <w:autoRedefine/>
    <w:uiPriority w:val="39"/>
    <w:unhideWhenUsed/>
    <w:rsid w:val="00726CE6"/>
    <w:pPr>
      <w:spacing w:after="100"/>
      <w:ind w:left="220"/>
    </w:pPr>
  </w:style>
  <w:style w:type="character" w:customStyle="1" w:styleId="FontStyle15">
    <w:name w:val="Font Style15"/>
    <w:rsid w:val="00726CE6"/>
    <w:rPr>
      <w:rFonts w:ascii="Times New Roman" w:hAnsi="Times New Roman" w:cs="Times New Roman" w:hint="default"/>
      <w:sz w:val="26"/>
      <w:szCs w:val="26"/>
    </w:rPr>
  </w:style>
  <w:style w:type="paragraph" w:styleId="af8">
    <w:name w:val="No Spacing"/>
    <w:link w:val="af9"/>
    <w:uiPriority w:val="1"/>
    <w:qFormat/>
    <w:rsid w:val="00726CE6"/>
    <w:pPr>
      <w:spacing w:after="0" w:line="240" w:lineRule="auto"/>
    </w:pPr>
    <w:rPr>
      <w:rFonts w:ascii="Calibri" w:eastAsia="Times New Roman" w:hAnsi="Calibri" w:cs="Times New Roman"/>
      <w:lang w:eastAsia="ru-RU"/>
    </w:rPr>
  </w:style>
  <w:style w:type="character" w:customStyle="1" w:styleId="FontStyle28">
    <w:name w:val="Font Style28"/>
    <w:rsid w:val="00726CE6"/>
    <w:rPr>
      <w:rFonts w:ascii="Bookman Old Style" w:hAnsi="Bookman Old Style" w:cs="Bookman Old Style"/>
      <w:sz w:val="18"/>
      <w:szCs w:val="18"/>
    </w:rPr>
  </w:style>
  <w:style w:type="paragraph" w:customStyle="1" w:styleId="p2">
    <w:name w:val="p2"/>
    <w:basedOn w:val="a"/>
    <w:uiPriority w:val="99"/>
    <w:rsid w:val="00726CE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tyle20">
    <w:name w:val="style20"/>
    <w:rsid w:val="00726CE6"/>
    <w:rPr>
      <w:rFonts w:cs="Times New Roman"/>
    </w:rPr>
  </w:style>
  <w:style w:type="paragraph" w:customStyle="1" w:styleId="jui">
    <w:name w:val="jui"/>
    <w:basedOn w:val="a"/>
    <w:rsid w:val="00726CE6"/>
    <w:pPr>
      <w:spacing w:after="0" w:line="240" w:lineRule="auto"/>
      <w:ind w:firstLine="300"/>
      <w:jc w:val="both"/>
    </w:pPr>
    <w:rPr>
      <w:rFonts w:ascii="Times New Roman" w:eastAsia="Times New Roman" w:hAnsi="Times New Roman"/>
      <w:sz w:val="24"/>
      <w:szCs w:val="24"/>
      <w:lang w:eastAsia="ru-RU"/>
    </w:rPr>
  </w:style>
  <w:style w:type="character" w:styleId="afa">
    <w:name w:val="Emphasis"/>
    <w:basedOn w:val="a0"/>
    <w:qFormat/>
    <w:rsid w:val="00726CE6"/>
    <w:rPr>
      <w:i/>
      <w:iCs/>
    </w:rPr>
  </w:style>
  <w:style w:type="paragraph" w:styleId="afb">
    <w:name w:val="caption"/>
    <w:basedOn w:val="a"/>
    <w:next w:val="a"/>
    <w:uiPriority w:val="35"/>
    <w:unhideWhenUsed/>
    <w:qFormat/>
    <w:rsid w:val="00726CE6"/>
    <w:pPr>
      <w:spacing w:line="240" w:lineRule="auto"/>
    </w:pPr>
    <w:rPr>
      <w:i/>
      <w:iCs/>
      <w:color w:val="44546A" w:themeColor="text2"/>
      <w:sz w:val="18"/>
      <w:szCs w:val="18"/>
    </w:rPr>
  </w:style>
  <w:style w:type="paragraph" w:customStyle="1" w:styleId="13">
    <w:name w:val="Текст1"/>
    <w:basedOn w:val="a"/>
    <w:rsid w:val="00726CE6"/>
    <w:pPr>
      <w:suppressAutoHyphens/>
      <w:spacing w:after="0" w:line="240" w:lineRule="auto"/>
    </w:pPr>
    <w:rPr>
      <w:rFonts w:ascii="Courier New" w:eastAsia="Times New Roman" w:hAnsi="Courier New" w:cs="Courier New"/>
      <w:sz w:val="20"/>
      <w:szCs w:val="20"/>
      <w:lang w:eastAsia="ar-SA"/>
    </w:rPr>
  </w:style>
  <w:style w:type="paragraph" w:customStyle="1" w:styleId="msonormalcxspmiddle">
    <w:name w:val="msonormalcxspmiddle"/>
    <w:basedOn w:val="a"/>
    <w:rsid w:val="00726CE6"/>
    <w:pPr>
      <w:suppressAutoHyphens/>
      <w:spacing w:before="280" w:after="280" w:line="240" w:lineRule="auto"/>
    </w:pPr>
    <w:rPr>
      <w:rFonts w:ascii="Times New Roman" w:eastAsia="Times New Roman" w:hAnsi="Times New Roman"/>
      <w:sz w:val="24"/>
      <w:szCs w:val="24"/>
      <w:lang w:eastAsia="ar-SA"/>
    </w:rPr>
  </w:style>
  <w:style w:type="table" w:customStyle="1" w:styleId="14">
    <w:name w:val="Сетка таблицы1"/>
    <w:basedOn w:val="a1"/>
    <w:next w:val="af1"/>
    <w:uiPriority w:val="39"/>
    <w:rsid w:val="00726CE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next w:val="af1"/>
    <w:uiPriority w:val="59"/>
    <w:rsid w:val="00726C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mailrucssattributepostfix">
    <w:name w:val="nospacing_mailru_css_attribute_postfix"/>
    <w:basedOn w:val="a"/>
    <w:rsid w:val="00726CE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mailrucssattributepostfixmailrucssattributepostfix">
    <w:name w:val="msonormalmailrucssattributepostfix_mailru_css_attribute_postfix"/>
    <w:basedOn w:val="a"/>
    <w:rsid w:val="00726CE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mailrucssattributepostfix">
    <w:name w:val="apple-converted-space_mailru_css_attribute_postfix"/>
    <w:basedOn w:val="a0"/>
    <w:rsid w:val="00726CE6"/>
  </w:style>
  <w:style w:type="paragraph" w:customStyle="1" w:styleId="Style1">
    <w:name w:val="Style1"/>
    <w:basedOn w:val="a"/>
    <w:rsid w:val="00726CE6"/>
    <w:pPr>
      <w:widowControl w:val="0"/>
      <w:suppressAutoHyphens/>
      <w:autoSpaceDE w:val="0"/>
      <w:spacing w:after="0" w:line="480" w:lineRule="exact"/>
      <w:jc w:val="both"/>
    </w:pPr>
    <w:rPr>
      <w:rFonts w:ascii="Times New Roman" w:eastAsia="Times New Roman" w:hAnsi="Times New Roman" w:cs="Calibri"/>
      <w:sz w:val="24"/>
      <w:szCs w:val="24"/>
      <w:lang w:eastAsia="ar-SA"/>
    </w:rPr>
  </w:style>
  <w:style w:type="character" w:customStyle="1" w:styleId="af9">
    <w:name w:val="Без интервала Знак"/>
    <w:link w:val="af8"/>
    <w:uiPriority w:val="1"/>
    <w:locked/>
    <w:rsid w:val="00726CE6"/>
    <w:rPr>
      <w:rFonts w:ascii="Calibri" w:eastAsia="Times New Roman" w:hAnsi="Calibri" w:cs="Times New Roman"/>
      <w:lang w:eastAsia="ru-RU"/>
    </w:rPr>
  </w:style>
  <w:style w:type="paragraph" w:customStyle="1" w:styleId="afc">
    <w:name w:val="для таблиц"/>
    <w:basedOn w:val="a"/>
    <w:qFormat/>
    <w:rsid w:val="00726CE6"/>
    <w:pPr>
      <w:spacing w:after="0" w:line="240" w:lineRule="auto"/>
      <w:jc w:val="both"/>
    </w:pPr>
    <w:rPr>
      <w:rFonts w:ascii="Times New Roman" w:hAnsi="Times New Roman"/>
      <w:sz w:val="24"/>
      <w:szCs w:val="24"/>
    </w:rPr>
  </w:style>
  <w:style w:type="paragraph" w:styleId="afd">
    <w:name w:val="Plain Text"/>
    <w:basedOn w:val="a"/>
    <w:link w:val="afe"/>
    <w:uiPriority w:val="99"/>
    <w:unhideWhenUsed/>
    <w:rsid w:val="0033757B"/>
    <w:pPr>
      <w:spacing w:after="0" w:line="240" w:lineRule="auto"/>
    </w:pPr>
    <w:rPr>
      <w:rFonts w:ascii="Consolas" w:eastAsiaTheme="minorHAnsi" w:hAnsi="Consolas" w:cstheme="minorBidi"/>
      <w:sz w:val="21"/>
      <w:szCs w:val="21"/>
    </w:rPr>
  </w:style>
  <w:style w:type="character" w:customStyle="1" w:styleId="afe">
    <w:name w:val="Текст Знак"/>
    <w:basedOn w:val="a0"/>
    <w:link w:val="afd"/>
    <w:uiPriority w:val="99"/>
    <w:rsid w:val="0033757B"/>
    <w:rPr>
      <w:rFonts w:ascii="Consolas" w:hAnsi="Consolas"/>
      <w:sz w:val="21"/>
      <w:szCs w:val="21"/>
    </w:rPr>
  </w:style>
  <w:style w:type="character" w:customStyle="1" w:styleId="ConsPlusNonformat0">
    <w:name w:val="ConsPlusNonformat Знак"/>
    <w:link w:val="ConsPlusNonformat"/>
    <w:locked/>
    <w:rsid w:val="00C3411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3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1633281972265024E-2"/>
          <c:y val="6.4516129032258118E-2"/>
          <c:w val="0.77349768875192559"/>
          <c:h val="0.75268817204301153"/>
        </c:manualLayout>
      </c:layout>
      <c:bar3DChart>
        <c:barDir val="col"/>
        <c:grouping val="clustered"/>
        <c:varyColors val="0"/>
        <c:ser>
          <c:idx val="0"/>
          <c:order val="0"/>
          <c:tx>
            <c:strRef>
              <c:f>Sheet1!$A$2</c:f>
              <c:strCache>
                <c:ptCount val="1"/>
                <c:pt idx="0">
                  <c:v>Ввод жилья, м2</c:v>
                </c:pt>
              </c:strCache>
            </c:strRef>
          </c:tx>
          <c:spPr>
            <a:solidFill>
              <a:srgbClr val="9999FF"/>
            </a:solidFill>
            <a:ln w="10700">
              <a:solidFill>
                <a:srgbClr val="000000"/>
              </a:solidFill>
              <a:prstDash val="solid"/>
            </a:ln>
          </c:spPr>
          <c:invertIfNegative val="0"/>
          <c:cat>
            <c:strRef>
              <c:f>Sheet1!$B$1:$G$1</c:f>
              <c:strCache>
                <c:ptCount val="5"/>
                <c:pt idx="0">
                  <c:v>2018 год</c:v>
                </c:pt>
                <c:pt idx="1">
                  <c:v>2019 год</c:v>
                </c:pt>
                <c:pt idx="2">
                  <c:v>2020 год</c:v>
                </c:pt>
                <c:pt idx="3">
                  <c:v>2021 год</c:v>
                </c:pt>
                <c:pt idx="4">
                  <c:v>2022 год</c:v>
                </c:pt>
              </c:strCache>
            </c:strRef>
          </c:cat>
          <c:val>
            <c:numRef>
              <c:f>Sheet1!$B$2:$G$2</c:f>
              <c:numCache>
                <c:formatCode>General</c:formatCode>
                <c:ptCount val="6"/>
                <c:pt idx="0">
                  <c:v>2579.1</c:v>
                </c:pt>
                <c:pt idx="1">
                  <c:v>2439.4</c:v>
                </c:pt>
                <c:pt idx="2">
                  <c:v>1031.7</c:v>
                </c:pt>
                <c:pt idx="3">
                  <c:v>2669.6</c:v>
                </c:pt>
                <c:pt idx="4">
                  <c:v>1610.3</c:v>
                </c:pt>
              </c:numCache>
            </c:numRef>
          </c:val>
        </c:ser>
        <c:dLbls>
          <c:showLegendKey val="0"/>
          <c:showVal val="0"/>
          <c:showCatName val="0"/>
          <c:showSerName val="0"/>
          <c:showPercent val="0"/>
          <c:showBubbleSize val="0"/>
        </c:dLbls>
        <c:gapWidth val="150"/>
        <c:gapDepth val="0"/>
        <c:shape val="box"/>
        <c:axId val="248618224"/>
        <c:axId val="248619008"/>
        <c:axId val="0"/>
      </c:bar3DChart>
      <c:catAx>
        <c:axId val="248618224"/>
        <c:scaling>
          <c:orientation val="minMax"/>
        </c:scaling>
        <c:delete val="0"/>
        <c:axPos val="b"/>
        <c:numFmt formatCode="General" sourceLinked="1"/>
        <c:majorTickMark val="out"/>
        <c:minorTickMark val="none"/>
        <c:tickLblPos val="low"/>
        <c:spPr>
          <a:ln w="2675">
            <a:solidFill>
              <a:srgbClr val="000000"/>
            </a:solidFill>
            <a:prstDash val="solid"/>
          </a:ln>
        </c:spPr>
        <c:txPr>
          <a:bodyPr rot="0" vert="horz"/>
          <a:lstStyle/>
          <a:p>
            <a:pPr>
              <a:defRPr sz="695" b="1" i="0" u="none" strike="noStrike" baseline="0">
                <a:solidFill>
                  <a:srgbClr val="000000"/>
                </a:solidFill>
                <a:latin typeface="Calibri"/>
                <a:ea typeface="Calibri"/>
                <a:cs typeface="Calibri"/>
              </a:defRPr>
            </a:pPr>
            <a:endParaRPr lang="ru-RU"/>
          </a:p>
        </c:txPr>
        <c:crossAx val="248619008"/>
        <c:crosses val="autoZero"/>
        <c:auto val="1"/>
        <c:lblAlgn val="ctr"/>
        <c:lblOffset val="100"/>
        <c:tickLblSkip val="1"/>
        <c:tickMarkSkip val="1"/>
        <c:noMultiLvlLbl val="0"/>
      </c:catAx>
      <c:valAx>
        <c:axId val="248619008"/>
        <c:scaling>
          <c:orientation val="minMax"/>
        </c:scaling>
        <c:delete val="0"/>
        <c:axPos val="l"/>
        <c:majorGridlines>
          <c:spPr>
            <a:ln w="2675">
              <a:solidFill>
                <a:srgbClr val="000000"/>
              </a:solidFill>
              <a:prstDash val="solid"/>
            </a:ln>
          </c:spPr>
        </c:majorGridlines>
        <c:numFmt formatCode="General" sourceLinked="1"/>
        <c:majorTickMark val="out"/>
        <c:minorTickMark val="none"/>
        <c:tickLblPos val="nextTo"/>
        <c:spPr>
          <a:ln w="2675">
            <a:solidFill>
              <a:srgbClr val="000000"/>
            </a:solidFill>
            <a:prstDash val="solid"/>
          </a:ln>
        </c:spPr>
        <c:txPr>
          <a:bodyPr rot="0" vert="horz"/>
          <a:lstStyle/>
          <a:p>
            <a:pPr>
              <a:defRPr sz="695" b="1" i="0" u="none" strike="noStrike" baseline="0">
                <a:solidFill>
                  <a:srgbClr val="000000"/>
                </a:solidFill>
                <a:latin typeface="Calibri"/>
                <a:ea typeface="Calibri"/>
                <a:cs typeface="Calibri"/>
              </a:defRPr>
            </a:pPr>
            <a:endParaRPr lang="ru-RU"/>
          </a:p>
        </c:txPr>
        <c:crossAx val="248618224"/>
        <c:crosses val="autoZero"/>
        <c:crossBetween val="between"/>
      </c:valAx>
      <c:spPr>
        <a:noFill/>
        <a:ln w="21399">
          <a:noFill/>
        </a:ln>
      </c:spPr>
    </c:plotArea>
    <c:legend>
      <c:legendPos val="r"/>
      <c:layout>
        <c:manualLayout>
          <c:xMode val="edge"/>
          <c:yMode val="edge"/>
          <c:x val="0.85208018791272078"/>
          <c:y val="0.44623677546914581"/>
          <c:w val="0.1417565112053302"/>
          <c:h val="0.10752691155896267"/>
        </c:manualLayout>
      </c:layout>
      <c:overlay val="0"/>
      <c:spPr>
        <a:noFill/>
        <a:ln w="2675">
          <a:solidFill>
            <a:srgbClr val="000000"/>
          </a:solidFill>
          <a:prstDash val="solid"/>
        </a:ln>
      </c:spPr>
      <c:txPr>
        <a:bodyPr/>
        <a:lstStyle/>
        <a:p>
          <a:pPr>
            <a:defRPr sz="636"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695" b="1"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37"/>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4796747967479746E-2"/>
          <c:y val="7.6923076923076927E-2"/>
          <c:w val="0.655284552845529"/>
          <c:h val="0.73626373626373665"/>
        </c:manualLayout>
      </c:layout>
      <c:bar3DChart>
        <c:barDir val="col"/>
        <c:grouping val="clustered"/>
        <c:varyColors val="0"/>
        <c:ser>
          <c:idx val="0"/>
          <c:order val="0"/>
          <c:tx>
            <c:strRef>
              <c:f>Sheet1!$A$2</c:f>
              <c:strCache>
                <c:ptCount val="1"/>
                <c:pt idx="0">
                  <c:v>Областной Дорожный фонд</c:v>
                </c:pt>
              </c:strCache>
            </c:strRef>
          </c:tx>
          <c:spPr>
            <a:solidFill>
              <a:srgbClr val="9999FF"/>
            </a:solidFill>
            <a:ln w="12700">
              <a:solidFill>
                <a:srgbClr val="000000"/>
              </a:solidFill>
              <a:prstDash val="solid"/>
            </a:ln>
          </c:spPr>
          <c:invertIfNegative val="0"/>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7302.5</c:v>
                </c:pt>
                <c:pt idx="1">
                  <c:v>24133.4</c:v>
                </c:pt>
                <c:pt idx="2">
                  <c:v>5645.9</c:v>
                </c:pt>
                <c:pt idx="3">
                  <c:v>24369.590410000001</c:v>
                </c:pt>
                <c:pt idx="4">
                  <c:v>12186.140590000005</c:v>
                </c:pt>
              </c:numCache>
            </c:numRef>
          </c:val>
        </c:ser>
        <c:ser>
          <c:idx val="1"/>
          <c:order val="1"/>
          <c:tx>
            <c:strRef>
              <c:f>Sheet1!$A$3</c:f>
              <c:strCache>
                <c:ptCount val="1"/>
                <c:pt idx="0">
                  <c:v>Районный Дорожный фонд</c:v>
                </c:pt>
              </c:strCache>
            </c:strRef>
          </c:tx>
          <c:spPr>
            <a:solidFill>
              <a:srgbClr val="993366"/>
            </a:solidFill>
            <a:ln w="12700">
              <a:solidFill>
                <a:srgbClr val="000000"/>
              </a:solidFill>
              <a:prstDash val="solid"/>
            </a:ln>
          </c:spPr>
          <c:invertIfNegative val="0"/>
          <c:cat>
            <c:strRef>
              <c:f>Sheet1!$B$1:$F$1</c:f>
              <c:strCache>
                <c:ptCount val="5"/>
                <c:pt idx="0">
                  <c:v>2018 год</c:v>
                </c:pt>
                <c:pt idx="1">
                  <c:v>2019 год</c:v>
                </c:pt>
                <c:pt idx="2">
                  <c:v>2020 год</c:v>
                </c:pt>
                <c:pt idx="3">
                  <c:v>2021 год</c:v>
                </c:pt>
                <c:pt idx="4">
                  <c:v>2022 год</c:v>
                </c:pt>
              </c:strCache>
            </c:strRef>
          </c:cat>
          <c:val>
            <c:numRef>
              <c:f>Sheet1!$B$3:$F$3</c:f>
              <c:numCache>
                <c:formatCode>General</c:formatCode>
                <c:ptCount val="5"/>
                <c:pt idx="0">
                  <c:v>10477.5</c:v>
                </c:pt>
                <c:pt idx="1">
                  <c:v>11361</c:v>
                </c:pt>
                <c:pt idx="2">
                  <c:v>14262.8</c:v>
                </c:pt>
                <c:pt idx="3">
                  <c:v>8997.3481499999962</c:v>
                </c:pt>
                <c:pt idx="4">
                  <c:v>17948.835519999993</c:v>
                </c:pt>
              </c:numCache>
            </c:numRef>
          </c:val>
        </c:ser>
        <c:dLbls>
          <c:showLegendKey val="0"/>
          <c:showVal val="0"/>
          <c:showCatName val="0"/>
          <c:showSerName val="0"/>
          <c:showPercent val="0"/>
          <c:showBubbleSize val="0"/>
        </c:dLbls>
        <c:gapWidth val="150"/>
        <c:gapDepth val="0"/>
        <c:shape val="box"/>
        <c:axId val="248619400"/>
        <c:axId val="248619792"/>
        <c:axId val="0"/>
      </c:bar3DChart>
      <c:catAx>
        <c:axId val="24861940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248619792"/>
        <c:crosses val="autoZero"/>
        <c:auto val="1"/>
        <c:lblAlgn val="ctr"/>
        <c:lblOffset val="100"/>
        <c:tickLblSkip val="1"/>
        <c:tickMarkSkip val="1"/>
        <c:noMultiLvlLbl val="0"/>
      </c:catAx>
      <c:valAx>
        <c:axId val="24861979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248619400"/>
        <c:crosses val="autoZero"/>
        <c:crossBetween val="between"/>
      </c:valAx>
      <c:spPr>
        <a:noFill/>
        <a:ln w="25398">
          <a:noFill/>
        </a:ln>
      </c:spPr>
    </c:plotArea>
    <c:legend>
      <c:legendPos val="r"/>
      <c:layout>
        <c:manualLayout>
          <c:xMode val="edge"/>
          <c:yMode val="edge"/>
          <c:x val="0.74796751702633602"/>
          <c:y val="0.39560439560439581"/>
          <c:w val="0.24552840133232962"/>
          <c:h val="0.21428571428571414"/>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13</TotalTime>
  <Pages>9</Pages>
  <Words>3695</Words>
  <Characters>21068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dc:creator>
  <cp:lastModifiedBy>Comp</cp:lastModifiedBy>
  <cp:revision>10</cp:revision>
  <cp:lastPrinted>2023-03-30T12:34:00Z</cp:lastPrinted>
  <dcterms:created xsi:type="dcterms:W3CDTF">2023-03-30T12:24:00Z</dcterms:created>
  <dcterms:modified xsi:type="dcterms:W3CDTF">2023-04-07T07:56:00Z</dcterms:modified>
</cp:coreProperties>
</file>