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A1" w:rsidRDefault="00927EA1" w:rsidP="009E041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A1">
        <w:rPr>
          <w:rFonts w:ascii="Times New Roman" w:hAnsi="Times New Roman" w:cs="Times New Roman"/>
          <w:b/>
          <w:sz w:val="28"/>
          <w:szCs w:val="28"/>
        </w:rPr>
        <w:t xml:space="preserve">Постановление Правительства РФ от 17.04.2024 № 492 «О </w:t>
      </w:r>
      <w:r w:rsidR="009E041A">
        <w:rPr>
          <w:rFonts w:ascii="Times New Roman" w:hAnsi="Times New Roman" w:cs="Times New Roman"/>
          <w:b/>
          <w:sz w:val="28"/>
          <w:szCs w:val="28"/>
        </w:rPr>
        <w:t xml:space="preserve">применении </w:t>
      </w:r>
      <w:r w:rsidRPr="00927EA1">
        <w:rPr>
          <w:rFonts w:ascii="Times New Roman" w:hAnsi="Times New Roman" w:cs="Times New Roman"/>
          <w:b/>
          <w:sz w:val="28"/>
          <w:szCs w:val="28"/>
        </w:rPr>
        <w:t>в 2024 году ставок платы за негативное воздействие на окружающую среду»</w:t>
      </w:r>
    </w:p>
    <w:p w:rsidR="009E041A" w:rsidRPr="00927EA1" w:rsidRDefault="009E041A" w:rsidP="009E041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EA1" w:rsidRPr="00927EA1" w:rsidRDefault="00927EA1" w:rsidP="009E041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EA1">
        <w:rPr>
          <w:rFonts w:ascii="Times New Roman" w:hAnsi="Times New Roman" w:cs="Times New Roman"/>
          <w:sz w:val="28"/>
          <w:szCs w:val="28"/>
        </w:rPr>
        <w:t>Документом установлены ставки платы за НВОС на 2024 год. С 01.01.2024 коэффициент индексации тарифов платы за НВОС равен 1,32. Также повышена и ставка платы за выбросы загрязняющих веществ в атмосферный воздух стационарными источниками в отношении пыли каменного угля. Она равна 74,41 руб. за тонну.</w:t>
      </w:r>
    </w:p>
    <w:p w:rsidR="00927EA1" w:rsidRPr="00927EA1" w:rsidRDefault="00927EA1" w:rsidP="009E041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EA1">
        <w:rPr>
          <w:rFonts w:ascii="Times New Roman" w:hAnsi="Times New Roman" w:cs="Times New Roman"/>
          <w:sz w:val="28"/>
          <w:szCs w:val="28"/>
        </w:rPr>
        <w:t>Хозяйствующим субъектам, которые оказывают НВОС, необходимо ознакомиться с документом, чтобы правильно рассчитать размер квартальных авансовых платежей в 2024 году, а также подготовиться к расчету платы за НВОС за отчетный 2024 год.</w:t>
      </w:r>
    </w:p>
    <w:p w:rsidR="007E56FE" w:rsidRPr="00927EA1" w:rsidRDefault="007E56FE" w:rsidP="009E041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927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7E56FE"/>
    <w:rsid w:val="00927EA1"/>
    <w:rsid w:val="009E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3</cp:revision>
  <dcterms:created xsi:type="dcterms:W3CDTF">2024-08-19T12:47:00Z</dcterms:created>
  <dcterms:modified xsi:type="dcterms:W3CDTF">2024-08-19T12:48:00Z</dcterms:modified>
</cp:coreProperties>
</file>