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27" w:rsidRDefault="00F06A27" w:rsidP="00F06A27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F06A27" w:rsidRDefault="00F06A27" w:rsidP="00F06A27">
      <w:pPr>
        <w:jc w:val="center"/>
      </w:pPr>
    </w:p>
    <w:p w:rsidR="00F06A27" w:rsidRDefault="00F06A27" w:rsidP="00F06A27">
      <w:pPr>
        <w:jc w:val="center"/>
      </w:pPr>
    </w:p>
    <w:p w:rsidR="00F06A27" w:rsidRDefault="00F06A27" w:rsidP="00F06A2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A27" w:rsidRPr="008D0EF7" w:rsidRDefault="00F06A27" w:rsidP="00F06A27">
      <w:pPr>
        <w:jc w:val="center"/>
        <w:outlineLvl w:val="0"/>
      </w:pPr>
      <w:r w:rsidRPr="008D0EF7">
        <w:t xml:space="preserve">АДМИНИСТРАЦИЯ БАБУШКИНСКОГО МУНИЦИПАЛЬНОГО </w:t>
      </w:r>
      <w:r>
        <w:t xml:space="preserve">ОКРУГА </w:t>
      </w:r>
      <w:r w:rsidRPr="008D0EF7">
        <w:t>ВОЛОГОДСКОЙ ОБЛАСТИ</w:t>
      </w:r>
    </w:p>
    <w:p w:rsidR="00F06A27" w:rsidRPr="00477734" w:rsidRDefault="00F06A27" w:rsidP="00F06A27">
      <w:pPr>
        <w:jc w:val="center"/>
        <w:rPr>
          <w:sz w:val="28"/>
          <w:szCs w:val="28"/>
        </w:rPr>
      </w:pPr>
    </w:p>
    <w:p w:rsidR="00F06A27" w:rsidRPr="00C675D9" w:rsidRDefault="00E06622" w:rsidP="00F06A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F06A27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</w:p>
    <w:p w:rsidR="00F06A27" w:rsidRDefault="00F06A27" w:rsidP="00F06A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F06A27" w:rsidRPr="00C675D9" w:rsidTr="00E54A27">
        <w:tc>
          <w:tcPr>
            <w:tcW w:w="2880" w:type="dxa"/>
            <w:tcBorders>
              <w:bottom w:val="single" w:sz="4" w:space="0" w:color="auto"/>
            </w:tcBorders>
          </w:tcPr>
          <w:p w:rsidR="00F06A27" w:rsidRPr="00A34A6A" w:rsidRDefault="00F06A27" w:rsidP="00E54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Pr="008A4473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20" w:type="dxa"/>
          </w:tcPr>
          <w:p w:rsidR="00F06A27" w:rsidRPr="00C675D9" w:rsidRDefault="00F06A27" w:rsidP="00E54A27">
            <w:pPr>
              <w:jc w:val="center"/>
            </w:pPr>
          </w:p>
        </w:tc>
        <w:tc>
          <w:tcPr>
            <w:tcW w:w="541" w:type="dxa"/>
          </w:tcPr>
          <w:p w:rsidR="00F06A27" w:rsidRPr="00C675D9" w:rsidRDefault="00F06A27" w:rsidP="00E54A27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06A27" w:rsidRPr="00A34A6A" w:rsidRDefault="00F04351" w:rsidP="00E54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</w:tr>
    </w:tbl>
    <w:p w:rsidR="00F06A27" w:rsidRDefault="00F06A27" w:rsidP="00F06A27">
      <w:pPr>
        <w:jc w:val="center"/>
      </w:pPr>
    </w:p>
    <w:p w:rsidR="00F06A27" w:rsidRPr="008C4540" w:rsidRDefault="00F06A27" w:rsidP="00F06A27">
      <w:pPr>
        <w:jc w:val="center"/>
        <w:rPr>
          <w:b/>
          <w:bCs/>
          <w:sz w:val="28"/>
          <w:szCs w:val="28"/>
        </w:rPr>
      </w:pPr>
      <w:proofErr w:type="gramStart"/>
      <w:r w:rsidRPr="008C4540">
        <w:t>с</w:t>
      </w:r>
      <w:proofErr w:type="gramEnd"/>
      <w:r w:rsidRPr="008C4540">
        <w:t>.</w:t>
      </w:r>
      <w:proofErr w:type="gramStart"/>
      <w:r w:rsidRPr="008C4540">
        <w:t>им</w:t>
      </w:r>
      <w:proofErr w:type="gramEnd"/>
      <w:r w:rsidRPr="008C4540">
        <w:t>. Бабушкина</w:t>
      </w:r>
    </w:p>
    <w:p w:rsidR="00F06A27" w:rsidRPr="008C4540" w:rsidRDefault="00F06A27" w:rsidP="00F06A27">
      <w:pPr>
        <w:ind w:firstLine="709"/>
        <w:jc w:val="both"/>
        <w:rPr>
          <w:b/>
          <w:bCs/>
          <w:sz w:val="28"/>
          <w:szCs w:val="28"/>
        </w:rPr>
      </w:pPr>
    </w:p>
    <w:p w:rsidR="00F06A27" w:rsidRPr="00477734" w:rsidRDefault="00F06A27" w:rsidP="00F06A27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Pr="004777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«Совершенствование муниципального управления на 2022 - 2026</w:t>
      </w:r>
      <w:r w:rsidRPr="00477734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 утвержденную постановлением администрации Бабушкинского муниципального района 09.11.2020 года № 838</w:t>
      </w:r>
    </w:p>
    <w:p w:rsidR="00F06A27" w:rsidRPr="008C4540" w:rsidRDefault="00F06A27" w:rsidP="00F06A27">
      <w:pPr>
        <w:ind w:firstLine="567"/>
        <w:jc w:val="both"/>
        <w:rPr>
          <w:sz w:val="28"/>
        </w:rPr>
      </w:pPr>
    </w:p>
    <w:p w:rsidR="00F06A27" w:rsidRDefault="00F06A27" w:rsidP="00F06A2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 Российской Федерации, статьей 35 Федерального закона от 02.03.2007 № 25-ФЗ «О муниципальной службе в Российской Федерации», а также в целях создания условий для дальнейшего развития и совершенствования муниципальной службы, повышения результативности профессиональной служебной деятельности, обеспечения координации деятельности органов местного самоуправления по вопросам профилактики коррупционных проявлений среди муниципальных служащих Бабушкинского муниципального округа при исполнении Федерального</w:t>
      </w:r>
      <w:proofErr w:type="gramEnd"/>
      <w:r>
        <w:rPr>
          <w:sz w:val="28"/>
          <w:szCs w:val="28"/>
        </w:rPr>
        <w:t xml:space="preserve"> закона от 25.12.2008 № 273-ФЗ «О противодействии коррупции», руководствуясь постановлением администрации Бабушкинского муниципального округа от 02.05.2023 года № 405 </w:t>
      </w:r>
      <w:r w:rsidRPr="00250656">
        <w:rPr>
          <w:sz w:val="28"/>
          <w:szCs w:val="28"/>
        </w:rPr>
        <w:t>«</w:t>
      </w:r>
      <w:r w:rsidRPr="00250656">
        <w:rPr>
          <w:color w:val="1A1A1A"/>
          <w:sz w:val="28"/>
          <w:szCs w:val="28"/>
        </w:rPr>
        <w:t>Об утверждении Порядка разработки, реализации и оценки</w:t>
      </w:r>
      <w:r>
        <w:rPr>
          <w:color w:val="1A1A1A"/>
          <w:sz w:val="28"/>
          <w:szCs w:val="28"/>
        </w:rPr>
        <w:t xml:space="preserve"> </w:t>
      </w:r>
      <w:r w:rsidRPr="00250656">
        <w:rPr>
          <w:color w:val="1A1A1A"/>
          <w:sz w:val="28"/>
          <w:szCs w:val="28"/>
        </w:rPr>
        <w:t>эффективности муниципальных программ Бабушкинского</w:t>
      </w:r>
      <w:r>
        <w:rPr>
          <w:color w:val="1A1A1A"/>
          <w:sz w:val="28"/>
          <w:szCs w:val="28"/>
        </w:rPr>
        <w:t xml:space="preserve"> </w:t>
      </w:r>
      <w:r w:rsidRPr="00250656">
        <w:rPr>
          <w:color w:val="1A1A1A"/>
          <w:sz w:val="28"/>
          <w:szCs w:val="28"/>
        </w:rPr>
        <w:t>муниципального округа Вологодской области</w:t>
      </w:r>
      <w:r>
        <w:rPr>
          <w:color w:val="1A1A1A"/>
          <w:sz w:val="28"/>
          <w:szCs w:val="28"/>
        </w:rPr>
        <w:t xml:space="preserve">» с последующими изменениями, руководствуясь Уставом Бабушкинского муниципального округа </w:t>
      </w:r>
    </w:p>
    <w:p w:rsidR="00F06A27" w:rsidRPr="00C13A8C" w:rsidRDefault="00F06A27" w:rsidP="00F06A27">
      <w:pPr>
        <w:shd w:val="clear" w:color="auto" w:fill="FFFFFF"/>
        <w:jc w:val="both"/>
        <w:rPr>
          <w:sz w:val="28"/>
        </w:rPr>
      </w:pPr>
    </w:p>
    <w:p w:rsidR="00F06A27" w:rsidRPr="008C4540" w:rsidRDefault="00F06A27" w:rsidP="00F06A27">
      <w:pPr>
        <w:spacing w:line="360" w:lineRule="auto"/>
        <w:ind w:firstLine="708"/>
        <w:jc w:val="both"/>
        <w:rPr>
          <w:b/>
          <w:sz w:val="28"/>
        </w:rPr>
      </w:pPr>
      <w:r w:rsidRPr="008C4540">
        <w:rPr>
          <w:b/>
          <w:sz w:val="28"/>
        </w:rPr>
        <w:t>ПОСТАНОВЛЯЮ:</w:t>
      </w:r>
    </w:p>
    <w:p w:rsidR="00F06A27" w:rsidRDefault="00F06A27" w:rsidP="00F06A2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муниципальную программу «Совершенствование муниципального управления на 2022-2026 годы», утвержденную постановлением </w:t>
      </w:r>
      <w:r w:rsidRPr="001254FD">
        <w:rPr>
          <w:bCs/>
          <w:sz w:val="28"/>
          <w:szCs w:val="28"/>
        </w:rPr>
        <w:t xml:space="preserve">администрации Бабушкинского муниципального района </w:t>
      </w:r>
      <w:r>
        <w:rPr>
          <w:bCs/>
          <w:sz w:val="28"/>
          <w:szCs w:val="28"/>
        </w:rPr>
        <w:t xml:space="preserve"> </w:t>
      </w:r>
      <w:r w:rsidRPr="001254FD">
        <w:rPr>
          <w:bCs/>
          <w:sz w:val="28"/>
          <w:szCs w:val="28"/>
        </w:rPr>
        <w:t>09.11.2020</w:t>
      </w:r>
      <w:r>
        <w:rPr>
          <w:bCs/>
          <w:sz w:val="28"/>
          <w:szCs w:val="28"/>
        </w:rPr>
        <w:t xml:space="preserve"> </w:t>
      </w:r>
      <w:r w:rsidRPr="001254FD">
        <w:rPr>
          <w:bCs/>
          <w:sz w:val="28"/>
          <w:szCs w:val="28"/>
        </w:rPr>
        <w:t xml:space="preserve"> года № 838</w:t>
      </w:r>
      <w:r>
        <w:rPr>
          <w:bCs/>
          <w:sz w:val="28"/>
          <w:szCs w:val="28"/>
        </w:rPr>
        <w:t xml:space="preserve"> (с изменениями), изменении следующего содержания:</w:t>
      </w:r>
    </w:p>
    <w:p w:rsidR="00F06A27" w:rsidRDefault="00F06A27" w:rsidP="00F06A27">
      <w:pPr>
        <w:numPr>
          <w:ilvl w:val="0"/>
          <w:numId w:val="2"/>
        </w:numPr>
        <w:ind w:hanging="14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муниципальной программы:</w:t>
      </w:r>
    </w:p>
    <w:p w:rsidR="00F06A27" w:rsidRDefault="00F06A27" w:rsidP="00F06A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«Объем финансового обеспечения программы» изложить в следующей редакции:</w:t>
      </w:r>
    </w:p>
    <w:p w:rsidR="00F06A27" w:rsidRDefault="00F06A27" w:rsidP="00F06A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946"/>
      </w:tblGrid>
      <w:tr w:rsidR="00F06A27" w:rsidTr="00E54A27">
        <w:tc>
          <w:tcPr>
            <w:tcW w:w="2660" w:type="dxa"/>
          </w:tcPr>
          <w:p w:rsidR="00F06A27" w:rsidRDefault="00F06A27" w:rsidP="00E54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финансового обеспечения программы</w:t>
            </w:r>
          </w:p>
        </w:tc>
        <w:tc>
          <w:tcPr>
            <w:tcW w:w="6946" w:type="dxa"/>
          </w:tcPr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районного бюджета на 2022-2026 годы составляет 329157,2 тыс. руб., в том числе по годам:</w:t>
            </w:r>
          </w:p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39576,3 тыс. руб.;</w:t>
            </w:r>
          </w:p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5F4104">
              <w:rPr>
                <w:sz w:val="28"/>
                <w:szCs w:val="28"/>
              </w:rPr>
              <w:t>– 78</w:t>
            </w:r>
            <w:r>
              <w:rPr>
                <w:sz w:val="28"/>
                <w:szCs w:val="28"/>
              </w:rPr>
              <w:t>317,5 тыс. руб.;</w:t>
            </w:r>
          </w:p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70269,4 тыс. руб.</w:t>
            </w:r>
          </w:p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70497,0 тыс. руб.</w:t>
            </w:r>
          </w:p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70497,0 тыс. руб.</w:t>
            </w:r>
          </w:p>
          <w:p w:rsidR="00F06A27" w:rsidRDefault="00F06A27" w:rsidP="00E54A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06A27" w:rsidRDefault="00F06A27" w:rsidP="00F06A27">
      <w:pPr>
        <w:jc w:val="right"/>
        <w:rPr>
          <w:bCs/>
          <w:sz w:val="28"/>
          <w:szCs w:val="28"/>
        </w:rPr>
      </w:pPr>
    </w:p>
    <w:p w:rsidR="000326E0" w:rsidRDefault="000326E0" w:rsidP="000326E0">
      <w:pPr>
        <w:pStyle w:val="a3"/>
        <w:numPr>
          <w:ilvl w:val="0"/>
          <w:numId w:val="2"/>
        </w:numPr>
        <w:tabs>
          <w:tab w:val="left" w:pos="689"/>
        </w:tabs>
        <w:ind w:left="70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 «Финансовое обеспечение реализации муниципальной программы» изложить в следующей редакции:</w:t>
      </w:r>
    </w:p>
    <w:p w:rsidR="000326E0" w:rsidRPr="000326E0" w:rsidRDefault="000326E0" w:rsidP="000326E0">
      <w:pPr>
        <w:ind w:left="284"/>
        <w:jc w:val="both"/>
        <w:rPr>
          <w:bCs/>
          <w:sz w:val="28"/>
          <w:szCs w:val="28"/>
        </w:rPr>
      </w:pPr>
      <w:r w:rsidRPr="000326E0">
        <w:rPr>
          <w:sz w:val="28"/>
          <w:szCs w:val="28"/>
        </w:rPr>
        <w:t xml:space="preserve">Объём средств бюджета округа, необходимых для реализации </w:t>
      </w:r>
      <w:r>
        <w:rPr>
          <w:sz w:val="28"/>
          <w:szCs w:val="28"/>
        </w:rPr>
        <w:t>м</w:t>
      </w:r>
      <w:r w:rsidRPr="000326E0">
        <w:rPr>
          <w:sz w:val="28"/>
          <w:szCs w:val="28"/>
        </w:rPr>
        <w:t>униципальной программы, составляет 329</w:t>
      </w:r>
      <w:r>
        <w:rPr>
          <w:sz w:val="28"/>
          <w:szCs w:val="28"/>
        </w:rPr>
        <w:t>157</w:t>
      </w:r>
      <w:r w:rsidRPr="000326E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326E0">
        <w:rPr>
          <w:sz w:val="28"/>
          <w:szCs w:val="28"/>
        </w:rPr>
        <w:t xml:space="preserve">  тыс. руб., в том числе по годам реализации:</w:t>
      </w:r>
    </w:p>
    <w:p w:rsidR="000326E0" w:rsidRPr="000326E0" w:rsidRDefault="000326E0" w:rsidP="000326E0">
      <w:pPr>
        <w:tabs>
          <w:tab w:val="left" w:pos="426"/>
        </w:tabs>
        <w:rPr>
          <w:sz w:val="28"/>
          <w:szCs w:val="28"/>
        </w:rPr>
      </w:pPr>
      <w:r w:rsidRPr="000326E0">
        <w:rPr>
          <w:sz w:val="28"/>
          <w:szCs w:val="28"/>
        </w:rPr>
        <w:t xml:space="preserve">    2022 год – 39576,3 тыс. руб.;</w:t>
      </w:r>
    </w:p>
    <w:p w:rsidR="000326E0" w:rsidRPr="000326E0" w:rsidRDefault="000326E0" w:rsidP="000326E0">
      <w:pPr>
        <w:tabs>
          <w:tab w:val="left" w:pos="426"/>
        </w:tabs>
        <w:rPr>
          <w:sz w:val="28"/>
          <w:szCs w:val="28"/>
        </w:rPr>
      </w:pPr>
      <w:r w:rsidRPr="000326E0">
        <w:rPr>
          <w:sz w:val="28"/>
          <w:szCs w:val="28"/>
        </w:rPr>
        <w:t xml:space="preserve">    2023 год – 78</w:t>
      </w:r>
      <w:r w:rsidR="00543D94">
        <w:rPr>
          <w:sz w:val="28"/>
          <w:szCs w:val="28"/>
        </w:rPr>
        <w:t>317</w:t>
      </w:r>
      <w:r w:rsidRPr="000326E0">
        <w:rPr>
          <w:sz w:val="28"/>
          <w:szCs w:val="28"/>
        </w:rPr>
        <w:t>,</w:t>
      </w:r>
      <w:r w:rsidR="00543D94">
        <w:rPr>
          <w:sz w:val="28"/>
          <w:szCs w:val="28"/>
        </w:rPr>
        <w:t>5</w:t>
      </w:r>
      <w:r w:rsidRPr="000326E0">
        <w:rPr>
          <w:sz w:val="28"/>
          <w:szCs w:val="28"/>
        </w:rPr>
        <w:t xml:space="preserve"> тыс. руб.;</w:t>
      </w:r>
    </w:p>
    <w:p w:rsidR="000326E0" w:rsidRPr="000326E0" w:rsidRDefault="000326E0" w:rsidP="000326E0">
      <w:pPr>
        <w:tabs>
          <w:tab w:val="left" w:pos="426"/>
        </w:tabs>
        <w:rPr>
          <w:sz w:val="28"/>
          <w:szCs w:val="28"/>
        </w:rPr>
      </w:pPr>
      <w:r w:rsidRPr="000326E0">
        <w:rPr>
          <w:sz w:val="28"/>
          <w:szCs w:val="28"/>
        </w:rPr>
        <w:t xml:space="preserve">    2024 год – 70269,4 тыс. руб.</w:t>
      </w:r>
    </w:p>
    <w:p w:rsidR="000326E0" w:rsidRPr="000326E0" w:rsidRDefault="000326E0" w:rsidP="000326E0">
      <w:pPr>
        <w:tabs>
          <w:tab w:val="left" w:pos="426"/>
        </w:tabs>
        <w:rPr>
          <w:sz w:val="28"/>
          <w:szCs w:val="28"/>
        </w:rPr>
      </w:pPr>
      <w:r w:rsidRPr="000326E0">
        <w:rPr>
          <w:sz w:val="28"/>
          <w:szCs w:val="28"/>
        </w:rPr>
        <w:t xml:space="preserve">    2025 год – 70497,0 тыс. руб.</w:t>
      </w:r>
    </w:p>
    <w:p w:rsidR="00543D94" w:rsidRDefault="001949F5" w:rsidP="001949F5">
      <w:pPr>
        <w:pStyle w:val="a3"/>
        <w:numPr>
          <w:ilvl w:val="0"/>
          <w:numId w:val="4"/>
        </w:num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–70497,0 </w:t>
      </w:r>
      <w:r w:rsidR="000326E0" w:rsidRPr="00820A04">
        <w:rPr>
          <w:sz w:val="28"/>
          <w:szCs w:val="28"/>
        </w:rPr>
        <w:t>тыс. ру</w:t>
      </w:r>
      <w:r w:rsidR="002D7990" w:rsidRPr="00820A04">
        <w:rPr>
          <w:sz w:val="28"/>
          <w:szCs w:val="28"/>
        </w:rPr>
        <w:t>б.</w:t>
      </w:r>
    </w:p>
    <w:p w:rsidR="001949F5" w:rsidRPr="001949F5" w:rsidRDefault="001949F5" w:rsidP="001949F5">
      <w:pPr>
        <w:tabs>
          <w:tab w:val="left" w:pos="426"/>
        </w:tabs>
        <w:rPr>
          <w:sz w:val="28"/>
          <w:szCs w:val="28"/>
        </w:rPr>
        <w:sectPr w:rsidR="001949F5" w:rsidRPr="001949F5" w:rsidSect="00302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D94" w:rsidRDefault="00543D94" w:rsidP="000326E0">
      <w:pPr>
        <w:tabs>
          <w:tab w:val="left" w:pos="426"/>
        </w:tabs>
        <w:rPr>
          <w:sz w:val="28"/>
          <w:szCs w:val="28"/>
        </w:rPr>
      </w:pPr>
    </w:p>
    <w:p w:rsidR="00543D94" w:rsidRPr="00820A04" w:rsidRDefault="00543D94" w:rsidP="00820A04">
      <w:pPr>
        <w:pStyle w:val="a3"/>
        <w:numPr>
          <w:ilvl w:val="0"/>
          <w:numId w:val="2"/>
        </w:numPr>
        <w:tabs>
          <w:tab w:val="left" w:pos="426"/>
        </w:tabs>
        <w:ind w:left="709"/>
        <w:rPr>
          <w:sz w:val="28"/>
          <w:szCs w:val="28"/>
        </w:rPr>
      </w:pPr>
      <w:r w:rsidRPr="00820A04">
        <w:rPr>
          <w:sz w:val="28"/>
          <w:szCs w:val="28"/>
        </w:rPr>
        <w:t>Приложение 2 к муниципальной программе «Сведения о целевых показателях муниципальной программы» изложить в следующей редакции: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835"/>
        <w:gridCol w:w="2268"/>
        <w:gridCol w:w="851"/>
        <w:gridCol w:w="992"/>
        <w:gridCol w:w="1134"/>
        <w:gridCol w:w="1134"/>
        <w:gridCol w:w="1276"/>
        <w:gridCol w:w="1134"/>
        <w:gridCol w:w="1418"/>
        <w:gridCol w:w="1417"/>
      </w:tblGrid>
      <w:tr w:rsidR="00543D94" w:rsidRPr="003F5A86" w:rsidTr="002A233F">
        <w:tc>
          <w:tcPr>
            <w:tcW w:w="533" w:type="dxa"/>
            <w:vMerge w:val="restart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Задача, направленная на достижение цели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3D94" w:rsidRPr="003F5A86" w:rsidRDefault="00543D94" w:rsidP="002A23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>Наименование целевого показателя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Отчетное</w:t>
            </w:r>
            <w:proofErr w:type="gramEnd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год)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Оценочное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(текущий год)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</w:t>
            </w:r>
          </w:p>
        </w:tc>
      </w:tr>
      <w:tr w:rsidR="00543D94" w:rsidRPr="003F5A86" w:rsidTr="002A233F">
        <w:tc>
          <w:tcPr>
            <w:tcW w:w="533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</w:tr>
      <w:tr w:rsidR="00543D94" w:rsidRPr="003F5A86" w:rsidTr="002A233F">
        <w:tc>
          <w:tcPr>
            <w:tcW w:w="533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ind w:left="34"/>
              <w:jc w:val="both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>Повышение профессионализма муниципальных служащих и стабильности муниципальной службы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ind w:left="34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 xml:space="preserve">Отношение количества муниципальных служащих, уволившихся по собственному желанию, к общему числу муниципальных служащих Администрации Бабушкинского муниципального </w:t>
            </w:r>
            <w:r>
              <w:rPr>
                <w:sz w:val="18"/>
                <w:szCs w:val="18"/>
              </w:rPr>
              <w:t xml:space="preserve">округа </w:t>
            </w:r>
            <w:r w:rsidRPr="003F5A86">
              <w:rPr>
                <w:sz w:val="18"/>
                <w:szCs w:val="18"/>
              </w:rPr>
              <w:t>(текучесть кадров)</w:t>
            </w:r>
          </w:p>
        </w:tc>
        <w:tc>
          <w:tcPr>
            <w:tcW w:w="851" w:type="dxa"/>
          </w:tcPr>
          <w:p w:rsidR="00543D94" w:rsidRPr="003F5A86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</w:p>
          <w:p w:rsidR="00543D94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</w:p>
          <w:p w:rsidR="00543D94" w:rsidRPr="003F5A86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43D94" w:rsidRPr="003F5A86" w:rsidRDefault="00543D94" w:rsidP="002A233F">
            <w:pPr>
              <w:ind w:left="34"/>
              <w:jc w:val="both"/>
              <w:rPr>
                <w:sz w:val="18"/>
                <w:szCs w:val="18"/>
              </w:rPr>
            </w:pPr>
          </w:p>
          <w:p w:rsidR="00543D94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</w:p>
          <w:p w:rsidR="00543D94" w:rsidRPr="003F5A86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</w:p>
          <w:p w:rsidR="00543D94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</w:p>
          <w:p w:rsidR="00543D94" w:rsidRPr="003F5A86" w:rsidRDefault="00543D94" w:rsidP="002A233F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меньше 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</w:p>
          <w:p w:rsidR="00543D94" w:rsidRDefault="00543D94" w:rsidP="002A233F">
            <w:pPr>
              <w:jc w:val="center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>мень</w:t>
            </w:r>
            <w:r>
              <w:rPr>
                <w:sz w:val="18"/>
                <w:szCs w:val="18"/>
              </w:rPr>
              <w:t xml:space="preserve">ше </w:t>
            </w:r>
          </w:p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</w:p>
          <w:p w:rsidR="00543D94" w:rsidRDefault="00543D94" w:rsidP="002A233F">
            <w:pPr>
              <w:jc w:val="center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 xml:space="preserve">меньше </w:t>
            </w:r>
          </w:p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</w:p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 xml:space="preserve">меньше </w:t>
            </w:r>
          </w:p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</w:p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 xml:space="preserve">меньше </w:t>
            </w:r>
          </w:p>
          <w:p w:rsidR="00543D94" w:rsidRPr="003F5A86" w:rsidRDefault="00543D94" w:rsidP="002A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 на муниципальном уровне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района, по </w:t>
            </w:r>
            <w:proofErr w:type="gramStart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результатам</w:t>
            </w:r>
            <w:proofErr w:type="gramEnd"/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851" w:type="dxa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и муниципальных услуг казённым учреждением МФЦ Бабушкинского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предоставления государственных и муниципальных услуг казённым учреждением МФЦ Бабушкинского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проводить </w:t>
            </w:r>
            <w:r w:rsidRPr="003F5A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мониторинг сайта «Ваш контроль»</w:t>
            </w:r>
          </w:p>
        </w:tc>
        <w:tc>
          <w:tcPr>
            <w:tcW w:w="851" w:type="dxa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не ниже 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не ниже 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не ниже 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не ниже 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не ниже 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jc w:val="both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>Обеспечение деятельности администрации Бабушкинского муниципального</w:t>
            </w:r>
            <w:r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Доля мероприятий, выполненных в соответствии с планом работы Администрации Бабушкинского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851" w:type="dxa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jc w:val="both"/>
              <w:rPr>
                <w:sz w:val="18"/>
                <w:szCs w:val="18"/>
              </w:rPr>
            </w:pPr>
            <w:r w:rsidRPr="003F5A86">
              <w:rPr>
                <w:sz w:val="18"/>
                <w:szCs w:val="18"/>
              </w:rPr>
              <w:t>Выплата пенсии муниципальным служащим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граждан, имеющих право на осуществление</w:t>
            </w: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пенсии муниципальным служащим в соответствии с решением Представительного Собрания Бабушкинского муниципального района от 30.06.2009 года № 115 (с последующими изменениями и дополнениями).</w:t>
            </w:r>
          </w:p>
        </w:tc>
        <w:tc>
          <w:tcPr>
            <w:tcW w:w="851" w:type="dxa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43D94" w:rsidRPr="003F5A86" w:rsidRDefault="00543D94" w:rsidP="002A23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качественного ведения первичного воинского учета</w:t>
            </w:r>
          </w:p>
        </w:tc>
        <w:tc>
          <w:tcPr>
            <w:tcW w:w="2268" w:type="dxa"/>
            <w:shd w:val="clear" w:color="auto" w:fill="auto"/>
          </w:tcPr>
          <w:p w:rsidR="00543D94" w:rsidRPr="003F5A86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предоставляемой информации по первичному воинскому учету в Администрацию Бабушкинского муниципального округа и Военный Комиссариат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Тотемскому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Нюксенскому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Бабушкинскому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Траногскому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округам в соответствии с действующим законодательством </w:t>
            </w:r>
          </w:p>
        </w:tc>
        <w:tc>
          <w:tcPr>
            <w:tcW w:w="851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3F5A86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43D94" w:rsidRPr="003F5A86" w:rsidTr="002A233F">
        <w:tc>
          <w:tcPr>
            <w:tcW w:w="533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43D94" w:rsidRPr="00543D94" w:rsidRDefault="00543D94" w:rsidP="002A23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Привлечение граждан </w:t>
            </w:r>
            <w:proofErr w:type="gramStart"/>
            <w:r>
              <w:rPr>
                <w:sz w:val="18"/>
                <w:szCs w:val="18"/>
              </w:rPr>
              <w:t>в добровольном порядке для заключения контракта о прохождении военной службы в Вооруженных Силах Российской Федерации для участия</w:t>
            </w:r>
            <w:proofErr w:type="gramEnd"/>
            <w:r>
              <w:rPr>
                <w:sz w:val="18"/>
                <w:szCs w:val="18"/>
              </w:rPr>
              <w:t xml:space="preserve"> в специальной военной операции</w:t>
            </w:r>
          </w:p>
        </w:tc>
        <w:tc>
          <w:tcPr>
            <w:tcW w:w="2268" w:type="dxa"/>
            <w:shd w:val="clear" w:color="auto" w:fill="auto"/>
          </w:tcPr>
          <w:p w:rsidR="00543D94" w:rsidRPr="00175FD2" w:rsidRDefault="00543D94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граждан, заключивших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>добровольно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военной службы в Вооруженных Силах Российской Федерации для участия в специальной военной 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операции</w:t>
            </w:r>
          </w:p>
        </w:tc>
        <w:tc>
          <w:tcPr>
            <w:tcW w:w="851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175FD2" w:rsidRDefault="00543D94" w:rsidP="002A233F">
            <w:pPr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Pr="00175FD2" w:rsidRDefault="00543D94" w:rsidP="002A233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D7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79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D94" w:rsidRDefault="00543D94" w:rsidP="002A2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43D94" w:rsidRDefault="00543D94" w:rsidP="00543D94">
      <w:pPr>
        <w:pStyle w:val="a3"/>
        <w:tabs>
          <w:tab w:val="left" w:pos="426"/>
        </w:tabs>
        <w:ind w:left="709"/>
        <w:rPr>
          <w:sz w:val="28"/>
          <w:szCs w:val="28"/>
        </w:rPr>
      </w:pPr>
    </w:p>
    <w:p w:rsidR="002D7990" w:rsidRDefault="002D7990" w:rsidP="001949F5">
      <w:pPr>
        <w:pStyle w:val="a3"/>
        <w:numPr>
          <w:ilvl w:val="0"/>
          <w:numId w:val="2"/>
        </w:numPr>
        <w:tabs>
          <w:tab w:val="left" w:pos="426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Приложение 3 к муниципальной программе изложить в следующей редакции:</w:t>
      </w:r>
    </w:p>
    <w:tbl>
      <w:tblPr>
        <w:tblpPr w:leftFromText="180" w:rightFromText="180" w:vertAnchor="text" w:horzAnchor="margin" w:tblpXSpec="center" w:tblpY="146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4"/>
        <w:gridCol w:w="3044"/>
        <w:gridCol w:w="2552"/>
        <w:gridCol w:w="1842"/>
        <w:gridCol w:w="1701"/>
        <w:gridCol w:w="2410"/>
        <w:gridCol w:w="2126"/>
      </w:tblGrid>
      <w:tr w:rsidR="002D7990" w:rsidRPr="002F66E4" w:rsidTr="002A233F">
        <w:tc>
          <w:tcPr>
            <w:tcW w:w="629" w:type="dxa"/>
          </w:tcPr>
          <w:p w:rsidR="002D7990" w:rsidRPr="002F66E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6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6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6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4" w:type="dxa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3044" w:type="dxa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F94">
              <w:rPr>
                <w:rFonts w:ascii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2552" w:type="dxa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F94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2D7990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мероприятия</w:t>
            </w:r>
          </w:p>
        </w:tc>
        <w:tc>
          <w:tcPr>
            <w:tcW w:w="1701" w:type="dxa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(непосредственный) результат, количество, 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F94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126" w:type="dxa"/>
          </w:tcPr>
          <w:p w:rsidR="002D7990" w:rsidRPr="003C4F94" w:rsidRDefault="002D7990" w:rsidP="002A233F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2D7990" w:rsidRPr="002F66E4" w:rsidTr="002A233F">
        <w:trPr>
          <w:trHeight w:val="2300"/>
        </w:trPr>
        <w:tc>
          <w:tcPr>
            <w:tcW w:w="629" w:type="dxa"/>
          </w:tcPr>
          <w:p w:rsidR="002D7990" w:rsidRPr="002F66E4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48E">
              <w:rPr>
                <w:rFonts w:ascii="Times New Roman" w:hAnsi="Times New Roman" w:cs="Times New Roman"/>
              </w:rPr>
              <w:t>Повышение профессионализма муниципальных служащих и стабильности муниципальной службы</w:t>
            </w:r>
          </w:p>
        </w:tc>
        <w:tc>
          <w:tcPr>
            <w:tcW w:w="3044" w:type="dxa"/>
          </w:tcPr>
          <w:p w:rsidR="002D7990" w:rsidRPr="006E216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160">
              <w:rPr>
                <w:rFonts w:ascii="Times New Roman" w:hAnsi="Times New Roman" w:cs="Times New Roman"/>
              </w:rPr>
              <w:t xml:space="preserve">Отношение количества муниципальных служащих, уволившихся по собственному желанию, к общему числу муниципальных служащих </w:t>
            </w:r>
            <w:r>
              <w:rPr>
                <w:rFonts w:ascii="Times New Roman" w:hAnsi="Times New Roman" w:cs="Times New Roman"/>
              </w:rPr>
              <w:t>а</w:t>
            </w:r>
            <w:r w:rsidRPr="006E2160">
              <w:rPr>
                <w:rFonts w:ascii="Times New Roman" w:hAnsi="Times New Roman" w:cs="Times New Roman"/>
              </w:rPr>
              <w:t>дминистрации Бабушкинского муниципального округа (текучесть кадров)</w:t>
            </w:r>
          </w:p>
        </w:tc>
        <w:tc>
          <w:tcPr>
            <w:tcW w:w="2552" w:type="dxa"/>
            <w:vMerge w:val="restart"/>
            <w:vAlign w:val="center"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администрации Бабушкинского муниципального округа</w:t>
            </w:r>
          </w:p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D7990" w:rsidRPr="005A2301" w:rsidRDefault="002D7990" w:rsidP="002A233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5A2301">
              <w:rPr>
                <w:rFonts w:ascii="Times New Roman" w:hAnsi="Times New Roman" w:cs="Times New Roman"/>
              </w:rPr>
              <w:t>29533</w:t>
            </w:r>
            <w:r>
              <w:rPr>
                <w:rFonts w:ascii="Times New Roman" w:hAnsi="Times New Roman" w:cs="Times New Roman"/>
              </w:rPr>
              <w:t>5,</w:t>
            </w:r>
            <w:r w:rsidRPr="005A2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менее 17 %</w:t>
            </w:r>
          </w:p>
        </w:tc>
        <w:tc>
          <w:tcPr>
            <w:tcW w:w="2410" w:type="dxa"/>
            <w:vMerge w:val="restart"/>
            <w:vAlign w:val="center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2126" w:type="dxa"/>
          </w:tcPr>
          <w:p w:rsidR="002D7990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D7990" w:rsidRPr="003C4F94" w:rsidRDefault="002D7990" w:rsidP="002A233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г.г.</w:t>
            </w:r>
          </w:p>
        </w:tc>
      </w:tr>
      <w:tr w:rsidR="002D7990" w:rsidRPr="002F66E4" w:rsidTr="002A233F">
        <w:tc>
          <w:tcPr>
            <w:tcW w:w="629" w:type="dxa"/>
          </w:tcPr>
          <w:p w:rsidR="002D7990" w:rsidRPr="00F44B18" w:rsidRDefault="002D7990" w:rsidP="002A2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7990" w:rsidRPr="00174075" w:rsidRDefault="002D7990" w:rsidP="002A233F">
            <w:pPr>
              <w:rPr>
                <w:sz w:val="24"/>
                <w:szCs w:val="24"/>
              </w:rPr>
            </w:pPr>
            <w:r w:rsidRPr="00174075"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2D7990" w:rsidRPr="00D03F11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03F1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администрации Бабушкинского муниципального округа</w:t>
            </w:r>
          </w:p>
        </w:tc>
        <w:tc>
          <w:tcPr>
            <w:tcW w:w="3044" w:type="dxa"/>
          </w:tcPr>
          <w:p w:rsidR="002D7990" w:rsidRPr="003C4F94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 Доля мероприятий, выполненных в соответствии с планом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Бабушкинского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2552" w:type="dxa"/>
            <w:vMerge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410" w:type="dxa"/>
            <w:vMerge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990" w:rsidRPr="003C4F94" w:rsidRDefault="002D7990" w:rsidP="002A233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г.г.</w:t>
            </w:r>
          </w:p>
        </w:tc>
      </w:tr>
      <w:tr w:rsidR="002D7990" w:rsidRPr="002F66E4" w:rsidTr="002A233F">
        <w:trPr>
          <w:trHeight w:val="1890"/>
        </w:trPr>
        <w:tc>
          <w:tcPr>
            <w:tcW w:w="629" w:type="dxa"/>
          </w:tcPr>
          <w:p w:rsidR="002D7990" w:rsidRDefault="002D7990" w:rsidP="002A2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7990" w:rsidRPr="00174075" w:rsidRDefault="002D7990" w:rsidP="002A233F">
            <w:pPr>
              <w:rPr>
                <w:sz w:val="24"/>
                <w:szCs w:val="24"/>
              </w:rPr>
            </w:pPr>
            <w:r w:rsidRPr="00174075">
              <w:rPr>
                <w:sz w:val="24"/>
                <w:szCs w:val="24"/>
              </w:rPr>
              <w:t>3</w:t>
            </w:r>
          </w:p>
          <w:p w:rsidR="002D7990" w:rsidRDefault="002D7990" w:rsidP="002A233F"/>
          <w:p w:rsidR="002D7990" w:rsidRDefault="002D7990" w:rsidP="002A233F"/>
          <w:p w:rsidR="002D7990" w:rsidRDefault="002D7990" w:rsidP="002A233F"/>
          <w:p w:rsidR="002D7990" w:rsidRDefault="002D7990" w:rsidP="002A233F"/>
          <w:p w:rsidR="002D7990" w:rsidRDefault="002D7990" w:rsidP="002A233F"/>
          <w:p w:rsidR="002D7990" w:rsidRDefault="002D7990" w:rsidP="002A233F">
            <w:pPr>
              <w:rPr>
                <w:sz w:val="24"/>
                <w:szCs w:val="24"/>
              </w:rPr>
            </w:pPr>
          </w:p>
          <w:p w:rsidR="002D7990" w:rsidRPr="00174075" w:rsidRDefault="002D7990" w:rsidP="002A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A01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качественного ведения первичного воинского учета</w:t>
            </w:r>
          </w:p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990" w:rsidRPr="00D03F11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A77">
              <w:rPr>
                <w:rFonts w:ascii="Times New Roman" w:hAnsi="Times New Roman" w:cs="Times New Roman"/>
                <w:sz w:val="18"/>
                <w:szCs w:val="18"/>
              </w:rPr>
              <w:t xml:space="preserve">Доля предоставляемой информации по первичному воинскому учету в администрацию Бабушкинского муниципального округа и Военный Комиссариат по </w:t>
            </w:r>
            <w:proofErr w:type="spellStart"/>
            <w:r w:rsidRPr="00735A77">
              <w:rPr>
                <w:rFonts w:ascii="Times New Roman" w:hAnsi="Times New Roman" w:cs="Times New Roman"/>
                <w:sz w:val="18"/>
                <w:szCs w:val="18"/>
              </w:rPr>
              <w:t>Тотемскому</w:t>
            </w:r>
            <w:proofErr w:type="spellEnd"/>
            <w:r w:rsidRPr="00735A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35A77">
              <w:rPr>
                <w:rFonts w:ascii="Times New Roman" w:hAnsi="Times New Roman" w:cs="Times New Roman"/>
                <w:sz w:val="18"/>
                <w:szCs w:val="18"/>
              </w:rPr>
              <w:t>Нюксенскому</w:t>
            </w:r>
            <w:proofErr w:type="spellEnd"/>
            <w:r w:rsidRPr="00735A77">
              <w:rPr>
                <w:rFonts w:ascii="Times New Roman" w:hAnsi="Times New Roman" w:cs="Times New Roman"/>
                <w:sz w:val="18"/>
                <w:szCs w:val="18"/>
              </w:rPr>
              <w:t xml:space="preserve">, Бабушкинскому и </w:t>
            </w:r>
            <w:proofErr w:type="spellStart"/>
            <w:r w:rsidRPr="00735A77">
              <w:rPr>
                <w:rFonts w:ascii="Times New Roman" w:hAnsi="Times New Roman" w:cs="Times New Roman"/>
                <w:sz w:val="18"/>
                <w:szCs w:val="18"/>
              </w:rPr>
              <w:t>Траногскому</w:t>
            </w:r>
            <w:proofErr w:type="spellEnd"/>
            <w:r w:rsidRPr="00735A77">
              <w:rPr>
                <w:rFonts w:ascii="Times New Roman" w:hAnsi="Times New Roman" w:cs="Times New Roman"/>
                <w:sz w:val="18"/>
                <w:szCs w:val="18"/>
              </w:rPr>
              <w:t xml:space="preserve"> районам в соответствии с действующим законодательством</w:t>
            </w:r>
          </w:p>
          <w:p w:rsidR="002D7990" w:rsidRPr="00735A77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410" w:type="dxa"/>
            <w:vMerge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2D7990" w:rsidRDefault="002D7990" w:rsidP="002A2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</w:p>
          <w:p w:rsidR="002D7990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D7990" w:rsidRDefault="002D7990" w:rsidP="002A2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990" w:rsidRPr="002F66E4" w:rsidTr="002A233F">
        <w:trPr>
          <w:trHeight w:val="795"/>
        </w:trPr>
        <w:tc>
          <w:tcPr>
            <w:tcW w:w="629" w:type="dxa"/>
          </w:tcPr>
          <w:p w:rsidR="002D7990" w:rsidRDefault="002D7990" w:rsidP="002A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34" w:type="dxa"/>
          </w:tcPr>
          <w:p w:rsidR="002D7990" w:rsidRPr="00D54A01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 на муниципальном уровне</w:t>
            </w:r>
          </w:p>
        </w:tc>
        <w:tc>
          <w:tcPr>
            <w:tcW w:w="3044" w:type="dxa"/>
          </w:tcPr>
          <w:p w:rsidR="002D7990" w:rsidRPr="00735A77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граждан, представителей коммерческих структур, надзорных и правоохранительных органов, поступивших в администрацию округа, по фактам проявлений коррупции в органах местного самоуправления округа,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проверки которых выявлены правонарушения коррупционного характера </w:t>
            </w:r>
          </w:p>
        </w:tc>
        <w:tc>
          <w:tcPr>
            <w:tcW w:w="2552" w:type="dxa"/>
            <w:vMerge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D7990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7990" w:rsidRDefault="002D7990" w:rsidP="002A2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990" w:rsidRPr="002F66E4" w:rsidTr="002A233F">
        <w:trPr>
          <w:trHeight w:val="2829"/>
        </w:trPr>
        <w:tc>
          <w:tcPr>
            <w:tcW w:w="629" w:type="dxa"/>
          </w:tcPr>
          <w:p w:rsidR="002D7990" w:rsidRPr="002F66E4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7990" w:rsidRPr="002F66E4" w:rsidRDefault="002D7990" w:rsidP="002A2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160">
              <w:rPr>
                <w:rFonts w:ascii="Times New Roman" w:hAnsi="Times New Roman" w:cs="Times New Roman"/>
              </w:rPr>
              <w:t>Предоставление государственных и муниципальных услуг казённым учреждением МФЦ Бабушкинского округа</w:t>
            </w:r>
          </w:p>
        </w:tc>
        <w:tc>
          <w:tcPr>
            <w:tcW w:w="3044" w:type="dxa"/>
          </w:tcPr>
          <w:p w:rsidR="002D7990" w:rsidRPr="003F5A86" w:rsidRDefault="002D7990" w:rsidP="002A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предоставления государственных и муниципальных услуг казённым учреждением МФЦ Бабушкинского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  <w:p w:rsidR="002D7990" w:rsidRPr="003C4F94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Ежемесячно проводить мониторинг сайта «Ваш контроль»</w:t>
            </w:r>
          </w:p>
          <w:p w:rsidR="002D7990" w:rsidRPr="003C4F94" w:rsidRDefault="002D7990" w:rsidP="002A23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деятельности Многофункционального центра</w:t>
            </w:r>
          </w:p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990" w:rsidRPr="003C4F94" w:rsidRDefault="002D7990" w:rsidP="002A23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13493,8</w:t>
            </w:r>
          </w:p>
        </w:tc>
        <w:tc>
          <w:tcPr>
            <w:tcW w:w="1701" w:type="dxa"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ниже 4%</w:t>
            </w:r>
          </w:p>
        </w:tc>
        <w:tc>
          <w:tcPr>
            <w:tcW w:w="2410" w:type="dxa"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2126" w:type="dxa"/>
          </w:tcPr>
          <w:p w:rsidR="002D7990" w:rsidRPr="003C4F94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г.г.</w:t>
            </w:r>
          </w:p>
        </w:tc>
      </w:tr>
      <w:tr w:rsidR="002D7990" w:rsidRPr="002F66E4" w:rsidTr="002A233F">
        <w:tc>
          <w:tcPr>
            <w:tcW w:w="629" w:type="dxa"/>
          </w:tcPr>
          <w:p w:rsidR="002D7990" w:rsidRPr="002F66E4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2D7990" w:rsidRPr="00D54A01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4A01">
              <w:rPr>
                <w:rFonts w:ascii="Times New Roman" w:hAnsi="Times New Roman" w:cs="Times New Roman"/>
              </w:rPr>
              <w:t>Выплата пенсии муниципальным служащим</w:t>
            </w:r>
          </w:p>
        </w:tc>
        <w:tc>
          <w:tcPr>
            <w:tcW w:w="3044" w:type="dxa"/>
          </w:tcPr>
          <w:p w:rsidR="002D7990" w:rsidRPr="002F66E4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86">
              <w:rPr>
                <w:rFonts w:ascii="Times New Roman" w:hAnsi="Times New Roman" w:cs="Times New Roman"/>
                <w:sz w:val="18"/>
                <w:szCs w:val="18"/>
              </w:rPr>
              <w:t>Осуществление выплаты пенсии муниципальным служащим в соответствии с решением Представительного Собрания Бабушкинского муниципального района от 30.06.2009 года № 115 (с последующими изменениями и дополнениями).</w:t>
            </w:r>
          </w:p>
        </w:tc>
        <w:tc>
          <w:tcPr>
            <w:tcW w:w="2552" w:type="dxa"/>
          </w:tcPr>
          <w:p w:rsidR="002D7990" w:rsidRPr="003C4F9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Стимулирование, мотивация и оценка деятельности муниципальных служащих в органах местного самоуправления Бабушкинского муниципального округа</w:t>
            </w:r>
          </w:p>
        </w:tc>
        <w:tc>
          <w:tcPr>
            <w:tcW w:w="1842" w:type="dxa"/>
          </w:tcPr>
          <w:p w:rsidR="002D7990" w:rsidRPr="002D49E1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14451,7</w:t>
            </w:r>
          </w:p>
        </w:tc>
        <w:tc>
          <w:tcPr>
            <w:tcW w:w="1701" w:type="dxa"/>
          </w:tcPr>
          <w:p w:rsidR="002D7990" w:rsidRPr="002F66E4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2D7990" w:rsidRPr="00D54A01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4A01"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2126" w:type="dxa"/>
          </w:tcPr>
          <w:p w:rsidR="002D7990" w:rsidRPr="00D54A01" w:rsidRDefault="002D7990" w:rsidP="002A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A01">
              <w:rPr>
                <w:rFonts w:ascii="Times New Roman" w:hAnsi="Times New Roman" w:cs="Times New Roman"/>
              </w:rPr>
              <w:t>2022-2026 г.г.</w:t>
            </w:r>
          </w:p>
        </w:tc>
      </w:tr>
      <w:tr w:rsidR="002D7990" w:rsidRPr="002F66E4" w:rsidTr="002A233F">
        <w:trPr>
          <w:trHeight w:val="1022"/>
        </w:trPr>
        <w:tc>
          <w:tcPr>
            <w:tcW w:w="629" w:type="dxa"/>
          </w:tcPr>
          <w:p w:rsidR="002D7990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2D7990" w:rsidRPr="001C0B98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B98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граждан </w:t>
            </w:r>
            <w:proofErr w:type="gramStart"/>
            <w:r w:rsidRPr="001C0B98">
              <w:rPr>
                <w:rFonts w:ascii="Times New Roman" w:hAnsi="Times New Roman" w:cs="Times New Roman"/>
                <w:sz w:val="18"/>
                <w:szCs w:val="18"/>
              </w:rPr>
              <w:t xml:space="preserve">в добровольном порядке для заключения контракта о прохождении </w:t>
            </w:r>
            <w:r w:rsidRPr="001C0B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военной службы в Вооруженных Силах Российской Федерации для участия</w:t>
            </w:r>
            <w:proofErr w:type="gramEnd"/>
            <w:r w:rsidRPr="001C0B98">
              <w:rPr>
                <w:rFonts w:ascii="Times New Roman" w:hAnsi="Times New Roman" w:cs="Times New Roman"/>
                <w:sz w:val="18"/>
                <w:szCs w:val="18"/>
              </w:rPr>
              <w:t xml:space="preserve"> в специальной военной операции</w:t>
            </w:r>
          </w:p>
        </w:tc>
        <w:tc>
          <w:tcPr>
            <w:tcW w:w="3044" w:type="dxa"/>
          </w:tcPr>
          <w:p w:rsidR="002D7990" w:rsidRPr="003F5A86" w:rsidRDefault="002D7990" w:rsidP="002A23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F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граждан, заключивших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5FD2">
              <w:rPr>
                <w:rFonts w:ascii="Times New Roman" w:hAnsi="Times New Roman" w:cs="Times New Roman"/>
                <w:sz w:val="18"/>
                <w:szCs w:val="18"/>
              </w:rPr>
              <w:t xml:space="preserve"> военной службы в Вооруженных Силах Российской Федерации для участия в специальной военной операции</w:t>
            </w:r>
          </w:p>
        </w:tc>
        <w:tc>
          <w:tcPr>
            <w:tcW w:w="2552" w:type="dxa"/>
          </w:tcPr>
          <w:p w:rsidR="002D7990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3A4C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2" w:type="dxa"/>
          </w:tcPr>
          <w:p w:rsidR="002D7990" w:rsidRPr="00973A4C" w:rsidRDefault="002D7990" w:rsidP="002D799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71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405,0</w:t>
            </w:r>
          </w:p>
        </w:tc>
        <w:tc>
          <w:tcPr>
            <w:tcW w:w="1701" w:type="dxa"/>
          </w:tcPr>
          <w:p w:rsidR="002D7990" w:rsidRDefault="002D7990" w:rsidP="002D7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410" w:type="dxa"/>
          </w:tcPr>
          <w:p w:rsidR="002D7990" w:rsidRPr="00D54A01" w:rsidRDefault="002D7990" w:rsidP="002A23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4A01"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2126" w:type="dxa"/>
          </w:tcPr>
          <w:p w:rsidR="002D7990" w:rsidRPr="00D54A01" w:rsidRDefault="002D7990" w:rsidP="001949F5">
            <w:pPr>
              <w:pStyle w:val="ConsPlusNormal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D54A01">
              <w:rPr>
                <w:rFonts w:ascii="Times New Roman" w:hAnsi="Times New Roman" w:cs="Times New Roman"/>
              </w:rPr>
              <w:t>.</w:t>
            </w:r>
          </w:p>
        </w:tc>
      </w:tr>
    </w:tbl>
    <w:p w:rsidR="001949F5" w:rsidRPr="001949F5" w:rsidRDefault="002D7990" w:rsidP="001949F5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D7990" w:rsidRPr="001949F5" w:rsidRDefault="001949F5" w:rsidP="001949F5">
      <w:pPr>
        <w:pStyle w:val="a3"/>
        <w:numPr>
          <w:ilvl w:val="0"/>
          <w:numId w:val="2"/>
        </w:numPr>
        <w:tabs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990" w:rsidRPr="001949F5">
        <w:rPr>
          <w:sz w:val="28"/>
          <w:szCs w:val="28"/>
        </w:rPr>
        <w:t>Приложение 4 к муниципальной программе изложить в следующей редакции:</w:t>
      </w:r>
    </w:p>
    <w:tbl>
      <w:tblPr>
        <w:tblW w:w="16018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1339"/>
        <w:gridCol w:w="566"/>
        <w:gridCol w:w="539"/>
        <w:gridCol w:w="397"/>
        <w:gridCol w:w="2900"/>
        <w:gridCol w:w="3807"/>
        <w:gridCol w:w="692"/>
        <w:gridCol w:w="1020"/>
        <w:gridCol w:w="1020"/>
        <w:gridCol w:w="1020"/>
        <w:gridCol w:w="1020"/>
        <w:gridCol w:w="1698"/>
      </w:tblGrid>
      <w:tr w:rsidR="002D7990" w:rsidRPr="00333DBF" w:rsidTr="00820A04">
        <w:trPr>
          <w:trHeight w:val="574"/>
          <w:tblHeader/>
        </w:trPr>
        <w:tc>
          <w:tcPr>
            <w:tcW w:w="2841" w:type="dxa"/>
            <w:gridSpan w:val="4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Код аналитической программной классификации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07" w:type="dxa"/>
            <w:vMerge w:val="restart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Ответственный исполнитель, соисполнитель</w:t>
            </w:r>
          </w:p>
        </w:tc>
        <w:tc>
          <w:tcPr>
            <w:tcW w:w="692" w:type="dxa"/>
            <w:vMerge w:val="restart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ГРБС</w:t>
            </w:r>
          </w:p>
        </w:tc>
        <w:tc>
          <w:tcPr>
            <w:tcW w:w="5778" w:type="dxa"/>
            <w:gridSpan w:val="5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Расходы бюджета муниципального образования, тыс. рублей</w:t>
            </w:r>
          </w:p>
        </w:tc>
      </w:tr>
      <w:tr w:rsidR="002D7990" w:rsidRPr="00333DBF" w:rsidTr="00820A04">
        <w:trPr>
          <w:trHeight w:val="743"/>
          <w:tblHeader/>
        </w:trPr>
        <w:tc>
          <w:tcPr>
            <w:tcW w:w="1339" w:type="dxa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МП</w:t>
            </w:r>
          </w:p>
        </w:tc>
        <w:tc>
          <w:tcPr>
            <w:tcW w:w="566" w:type="dxa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proofErr w:type="spellStart"/>
            <w:r w:rsidRPr="00333DBF">
              <w:t>Пп</w:t>
            </w:r>
            <w:proofErr w:type="spellEnd"/>
          </w:p>
        </w:tc>
        <w:tc>
          <w:tcPr>
            <w:tcW w:w="539" w:type="dxa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ОМ</w:t>
            </w:r>
          </w:p>
        </w:tc>
        <w:tc>
          <w:tcPr>
            <w:tcW w:w="397" w:type="dxa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М</w:t>
            </w:r>
          </w:p>
        </w:tc>
        <w:tc>
          <w:tcPr>
            <w:tcW w:w="2900" w:type="dxa"/>
            <w:vMerge/>
            <w:vAlign w:val="center"/>
            <w:hideMark/>
          </w:tcPr>
          <w:p w:rsidR="002D7990" w:rsidRPr="00333DBF" w:rsidRDefault="002D7990" w:rsidP="002A233F">
            <w:pPr>
              <w:spacing w:before="40" w:after="40"/>
            </w:pPr>
          </w:p>
        </w:tc>
        <w:tc>
          <w:tcPr>
            <w:tcW w:w="3807" w:type="dxa"/>
            <w:vMerge/>
            <w:vAlign w:val="center"/>
            <w:hideMark/>
          </w:tcPr>
          <w:p w:rsidR="002D7990" w:rsidRPr="00333DBF" w:rsidRDefault="002D7990" w:rsidP="002A233F">
            <w:pPr>
              <w:spacing w:before="40" w:after="40"/>
            </w:pPr>
          </w:p>
        </w:tc>
        <w:tc>
          <w:tcPr>
            <w:tcW w:w="692" w:type="dxa"/>
            <w:vMerge/>
          </w:tcPr>
          <w:p w:rsidR="002D7990" w:rsidRPr="00333DBF" w:rsidRDefault="002D7990" w:rsidP="002A233F">
            <w:pPr>
              <w:spacing w:before="40" w:after="40"/>
              <w:jc w:val="center"/>
            </w:pPr>
          </w:p>
        </w:tc>
        <w:tc>
          <w:tcPr>
            <w:tcW w:w="1020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2022</w:t>
            </w:r>
          </w:p>
        </w:tc>
        <w:tc>
          <w:tcPr>
            <w:tcW w:w="1020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2023</w:t>
            </w:r>
          </w:p>
        </w:tc>
        <w:tc>
          <w:tcPr>
            <w:tcW w:w="1020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2024</w:t>
            </w:r>
          </w:p>
        </w:tc>
        <w:tc>
          <w:tcPr>
            <w:tcW w:w="1020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2025</w:t>
            </w:r>
          </w:p>
        </w:tc>
        <w:tc>
          <w:tcPr>
            <w:tcW w:w="1698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 w:rsidRPr="00333DBF">
              <w:t>2026</w:t>
            </w:r>
          </w:p>
        </w:tc>
      </w:tr>
      <w:tr w:rsidR="002D7990" w:rsidRPr="00333DBF" w:rsidTr="00820A04">
        <w:trPr>
          <w:trHeight w:val="1119"/>
        </w:trPr>
        <w:tc>
          <w:tcPr>
            <w:tcW w:w="1339" w:type="dxa"/>
            <w:noWrap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66" w:type="dxa"/>
            <w:noWrap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900" w:type="dxa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jc w:val="both"/>
              <w:rPr>
                <w:b/>
                <w:bCs/>
              </w:rPr>
            </w:pPr>
            <w:r w:rsidRPr="00333DBF">
              <w:rPr>
                <w:b/>
                <w:bCs/>
              </w:rPr>
              <w:t>Совершенствование муниципального управления на 2022-2026 годы</w:t>
            </w:r>
          </w:p>
        </w:tc>
        <w:tc>
          <w:tcPr>
            <w:tcW w:w="3807" w:type="dxa"/>
            <w:vAlign w:val="center"/>
            <w:hideMark/>
          </w:tcPr>
          <w:p w:rsidR="002D7990" w:rsidRPr="00333DBF" w:rsidRDefault="002D7990" w:rsidP="002A233F">
            <w:pPr>
              <w:spacing w:before="40" w:after="40"/>
              <w:rPr>
                <w:b/>
                <w:bCs/>
              </w:rPr>
            </w:pPr>
          </w:p>
          <w:p w:rsidR="002D7990" w:rsidRPr="00333DBF" w:rsidRDefault="002D7990" w:rsidP="002A233F">
            <w:pPr>
              <w:spacing w:before="40" w:after="40"/>
              <w:rPr>
                <w:b/>
                <w:bCs/>
              </w:rPr>
            </w:pPr>
            <w:r w:rsidRPr="00333DBF">
              <w:rPr>
                <w:b/>
                <w:bCs/>
              </w:rPr>
              <w:t>Всего</w:t>
            </w:r>
          </w:p>
        </w:tc>
        <w:tc>
          <w:tcPr>
            <w:tcW w:w="692" w:type="dxa"/>
            <w:vAlign w:val="center"/>
          </w:tcPr>
          <w:p w:rsidR="002D7990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  <w:p w:rsidR="002D7990" w:rsidRPr="005E6E95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  <w:r w:rsidRPr="005E6E95">
              <w:rPr>
                <w:b/>
                <w:bCs/>
              </w:rPr>
              <w:t>08</w:t>
            </w:r>
            <w:r>
              <w:rPr>
                <w:b/>
                <w:bCs/>
              </w:rPr>
              <w:t>7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  <w:p w:rsidR="002D7990" w:rsidRPr="00333DBF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39576,3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  <w:p w:rsidR="002D7990" w:rsidRPr="00333DBF" w:rsidRDefault="002D7990" w:rsidP="002D7990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78317,5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</w:p>
          <w:p w:rsidR="002D7990" w:rsidRPr="00333DBF" w:rsidRDefault="002D7990" w:rsidP="002A233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70269,4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jc w:val="center"/>
              <w:rPr>
                <w:b/>
              </w:rPr>
            </w:pPr>
          </w:p>
          <w:p w:rsidR="002D7990" w:rsidRPr="00D2115D" w:rsidRDefault="002D7990" w:rsidP="002A233F">
            <w:pPr>
              <w:jc w:val="center"/>
              <w:rPr>
                <w:b/>
              </w:rPr>
            </w:pPr>
            <w:r>
              <w:rPr>
                <w:b/>
              </w:rPr>
              <w:t>70497,0</w:t>
            </w:r>
          </w:p>
        </w:tc>
        <w:tc>
          <w:tcPr>
            <w:tcW w:w="1698" w:type="dxa"/>
            <w:noWrap/>
            <w:vAlign w:val="center"/>
            <w:hideMark/>
          </w:tcPr>
          <w:p w:rsidR="002D7990" w:rsidRDefault="002D7990" w:rsidP="002A233F">
            <w:pPr>
              <w:jc w:val="center"/>
              <w:rPr>
                <w:b/>
              </w:rPr>
            </w:pPr>
          </w:p>
          <w:p w:rsidR="002D7990" w:rsidRPr="00D2115D" w:rsidRDefault="002D7990" w:rsidP="002A233F">
            <w:pPr>
              <w:jc w:val="center"/>
              <w:rPr>
                <w:b/>
              </w:rPr>
            </w:pPr>
            <w:r>
              <w:rPr>
                <w:b/>
              </w:rPr>
              <w:t>70497,0</w:t>
            </w:r>
          </w:p>
        </w:tc>
      </w:tr>
      <w:tr w:rsidR="002D7990" w:rsidRPr="00333DBF" w:rsidTr="00820A04">
        <w:trPr>
          <w:trHeight w:val="576"/>
        </w:trPr>
        <w:tc>
          <w:tcPr>
            <w:tcW w:w="13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66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  <w:r w:rsidRPr="00333DBF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397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00" w:type="dxa"/>
            <w:vAlign w:val="center"/>
          </w:tcPr>
          <w:p w:rsidR="002D7990" w:rsidRPr="00333DBF" w:rsidRDefault="002D7990" w:rsidP="002A233F">
            <w:pPr>
              <w:spacing w:before="40" w:after="40"/>
            </w:pPr>
            <w:r>
              <w:t>Совершенствование деятельности Многофункционального центра</w:t>
            </w:r>
          </w:p>
        </w:tc>
        <w:tc>
          <w:tcPr>
            <w:tcW w:w="3807" w:type="dxa"/>
            <w:vAlign w:val="center"/>
          </w:tcPr>
          <w:p w:rsidR="002D7990" w:rsidRDefault="002D7990" w:rsidP="002A233F">
            <w:pPr>
              <w:spacing w:before="40" w:after="40"/>
            </w:pPr>
            <w:r>
              <w:t xml:space="preserve">Администрация Бабушкинского муниципального округа </w:t>
            </w:r>
          </w:p>
          <w:p w:rsidR="002D7990" w:rsidRPr="00333DBF" w:rsidRDefault="002D7990" w:rsidP="002A233F">
            <w:pPr>
              <w:spacing w:before="40" w:after="40"/>
            </w:pPr>
          </w:p>
        </w:tc>
        <w:tc>
          <w:tcPr>
            <w:tcW w:w="692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087</w:t>
            </w:r>
          </w:p>
        </w:tc>
        <w:tc>
          <w:tcPr>
            <w:tcW w:w="1020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2873,1</w:t>
            </w:r>
          </w:p>
        </w:tc>
        <w:tc>
          <w:tcPr>
            <w:tcW w:w="1020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 w:rsidRPr="00804BD4">
              <w:t>2772,4</w:t>
            </w:r>
          </w:p>
        </w:tc>
        <w:tc>
          <w:tcPr>
            <w:tcW w:w="1020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>
              <w:t>2616,1</w:t>
            </w:r>
          </w:p>
        </w:tc>
        <w:tc>
          <w:tcPr>
            <w:tcW w:w="1020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 w:rsidRPr="003A0022">
              <w:t>2616,1</w:t>
            </w:r>
          </w:p>
        </w:tc>
        <w:tc>
          <w:tcPr>
            <w:tcW w:w="1698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 w:rsidRPr="003A0022">
              <w:t>2616,1</w:t>
            </w:r>
          </w:p>
        </w:tc>
      </w:tr>
      <w:tr w:rsidR="002D7990" w:rsidRPr="00333DBF" w:rsidTr="00820A04">
        <w:trPr>
          <w:trHeight w:val="510"/>
        </w:trPr>
        <w:tc>
          <w:tcPr>
            <w:tcW w:w="13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66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00" w:type="dxa"/>
            <w:vAlign w:val="center"/>
          </w:tcPr>
          <w:p w:rsidR="002D7990" w:rsidRPr="00333DBF" w:rsidRDefault="002D7990" w:rsidP="002A233F">
            <w:pPr>
              <w:spacing w:before="40" w:after="40"/>
            </w:pPr>
            <w:r>
              <w:t>Стимулирование, мотивация и оценка деятельности муниципальных служащих в органах местного самоуправления</w:t>
            </w:r>
          </w:p>
        </w:tc>
        <w:tc>
          <w:tcPr>
            <w:tcW w:w="3807" w:type="dxa"/>
            <w:vAlign w:val="center"/>
          </w:tcPr>
          <w:p w:rsidR="002D7990" w:rsidRDefault="002D7990" w:rsidP="002A233F">
            <w:pPr>
              <w:spacing w:before="40" w:after="40"/>
            </w:pPr>
            <w:r>
              <w:t xml:space="preserve">Администрация Бабушкинского муниципального округа </w:t>
            </w:r>
          </w:p>
          <w:p w:rsidR="002D7990" w:rsidRPr="00333DBF" w:rsidRDefault="002D7990" w:rsidP="002A233F">
            <w:pPr>
              <w:spacing w:before="40" w:after="40"/>
            </w:pPr>
          </w:p>
        </w:tc>
        <w:tc>
          <w:tcPr>
            <w:tcW w:w="692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087</w:t>
            </w:r>
          </w:p>
        </w:tc>
        <w:tc>
          <w:tcPr>
            <w:tcW w:w="1020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1634,1</w:t>
            </w:r>
          </w:p>
        </w:tc>
        <w:tc>
          <w:tcPr>
            <w:tcW w:w="1020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>
              <w:t>3185,3</w:t>
            </w:r>
          </w:p>
        </w:tc>
        <w:tc>
          <w:tcPr>
            <w:tcW w:w="1020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>
              <w:t>3204,4</w:t>
            </w:r>
          </w:p>
        </w:tc>
        <w:tc>
          <w:tcPr>
            <w:tcW w:w="1020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>
              <w:t>3204,4</w:t>
            </w:r>
          </w:p>
        </w:tc>
        <w:tc>
          <w:tcPr>
            <w:tcW w:w="1698" w:type="dxa"/>
            <w:noWrap/>
          </w:tcPr>
          <w:p w:rsidR="002D7990" w:rsidRDefault="002D7990" w:rsidP="002A233F"/>
          <w:p w:rsidR="002D7990" w:rsidRDefault="002D7990" w:rsidP="002A233F"/>
          <w:p w:rsidR="002D7990" w:rsidRDefault="002D7990" w:rsidP="002A233F">
            <w:r>
              <w:t>3204,4</w:t>
            </w:r>
          </w:p>
        </w:tc>
      </w:tr>
      <w:tr w:rsidR="002D7990" w:rsidRPr="00333DBF" w:rsidTr="00820A04">
        <w:trPr>
          <w:trHeight w:val="510"/>
        </w:trPr>
        <w:tc>
          <w:tcPr>
            <w:tcW w:w="13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66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00" w:type="dxa"/>
            <w:vAlign w:val="center"/>
          </w:tcPr>
          <w:p w:rsidR="002D7990" w:rsidRPr="00333DBF" w:rsidRDefault="002D7990" w:rsidP="002A233F">
            <w:pPr>
              <w:spacing w:before="40" w:after="40"/>
            </w:pPr>
            <w:r w:rsidRPr="00333DBF">
              <w:t xml:space="preserve">Обеспечение  деятельности Администрации Бабушкинского муниципального </w:t>
            </w:r>
            <w:r>
              <w:t>округа</w:t>
            </w:r>
          </w:p>
        </w:tc>
        <w:tc>
          <w:tcPr>
            <w:tcW w:w="3807" w:type="dxa"/>
            <w:vAlign w:val="center"/>
          </w:tcPr>
          <w:p w:rsidR="002D7990" w:rsidRDefault="002D7990" w:rsidP="002A233F">
            <w:pPr>
              <w:spacing w:before="40" w:after="40"/>
            </w:pPr>
            <w:r>
              <w:t xml:space="preserve">Администрация Бабушкинского муниципального округа </w:t>
            </w:r>
          </w:p>
          <w:p w:rsidR="002D7990" w:rsidRPr="00333DBF" w:rsidRDefault="002D7990" w:rsidP="002A233F">
            <w:pPr>
              <w:spacing w:before="40" w:after="40"/>
            </w:pPr>
          </w:p>
        </w:tc>
        <w:tc>
          <w:tcPr>
            <w:tcW w:w="692" w:type="dxa"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087</w:t>
            </w:r>
          </w:p>
        </w:tc>
        <w:tc>
          <w:tcPr>
            <w:tcW w:w="1020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35069,1</w:t>
            </w:r>
          </w:p>
        </w:tc>
        <w:tc>
          <w:tcPr>
            <w:tcW w:w="1020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65954,8</w:t>
            </w:r>
          </w:p>
        </w:tc>
        <w:tc>
          <w:tcPr>
            <w:tcW w:w="1020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64448,9</w:t>
            </w:r>
          </w:p>
        </w:tc>
        <w:tc>
          <w:tcPr>
            <w:tcW w:w="1020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64676,5</w:t>
            </w:r>
          </w:p>
        </w:tc>
        <w:tc>
          <w:tcPr>
            <w:tcW w:w="1698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</w:pPr>
            <w:r>
              <w:t>64676,5</w:t>
            </w:r>
          </w:p>
        </w:tc>
      </w:tr>
      <w:tr w:rsidR="002D7990" w:rsidRPr="00333DBF" w:rsidTr="00820A04">
        <w:trPr>
          <w:trHeight w:val="510"/>
        </w:trPr>
        <w:tc>
          <w:tcPr>
            <w:tcW w:w="1339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66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9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97" w:type="dxa"/>
            <w:noWrap/>
            <w:vAlign w:val="center"/>
          </w:tcPr>
          <w:p w:rsidR="002D7990" w:rsidRPr="00333DBF" w:rsidRDefault="002D7990" w:rsidP="002A233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00" w:type="dxa"/>
            <w:vAlign w:val="center"/>
          </w:tcPr>
          <w:p w:rsidR="002D7990" w:rsidRPr="00333DBF" w:rsidRDefault="002D7990" w:rsidP="002A233F">
            <w:pPr>
              <w:spacing w:before="40" w:after="40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3807" w:type="dxa"/>
            <w:vAlign w:val="center"/>
          </w:tcPr>
          <w:p w:rsidR="002D7990" w:rsidRDefault="002D7990" w:rsidP="002A233F">
            <w:pPr>
              <w:spacing w:before="40" w:after="40"/>
            </w:pPr>
            <w:r>
              <w:t xml:space="preserve">Администрация Бабушкинского муниципального округа </w:t>
            </w:r>
          </w:p>
          <w:p w:rsidR="002D7990" w:rsidRDefault="002D7990" w:rsidP="002A233F">
            <w:pPr>
              <w:spacing w:before="40" w:after="40"/>
            </w:pPr>
          </w:p>
        </w:tc>
        <w:tc>
          <w:tcPr>
            <w:tcW w:w="692" w:type="dxa"/>
            <w:vAlign w:val="center"/>
          </w:tcPr>
          <w:p w:rsidR="002D7990" w:rsidRDefault="002D7990" w:rsidP="002A233F">
            <w:pPr>
              <w:spacing w:before="40" w:after="40"/>
              <w:jc w:val="center"/>
            </w:pPr>
            <w:r>
              <w:t>087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020" w:type="dxa"/>
            <w:noWrap/>
            <w:vAlign w:val="center"/>
          </w:tcPr>
          <w:p w:rsidR="002D7990" w:rsidRPr="00A8205E" w:rsidRDefault="002D7990" w:rsidP="002D7990">
            <w:pPr>
              <w:spacing w:before="40" w:after="40"/>
              <w:jc w:val="center"/>
              <w:rPr>
                <w:highlight w:val="yellow"/>
              </w:rPr>
            </w:pPr>
            <w:r w:rsidRPr="00804BD4">
              <w:t>6</w:t>
            </w:r>
            <w:r>
              <w:t>405</w:t>
            </w:r>
            <w:r w:rsidRPr="00804BD4">
              <w:t>,0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020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698" w:type="dxa"/>
            <w:noWrap/>
            <w:vAlign w:val="center"/>
          </w:tcPr>
          <w:p w:rsidR="002D7990" w:rsidRDefault="002D7990" w:rsidP="002A233F">
            <w:pPr>
              <w:spacing w:before="40" w:after="40"/>
              <w:jc w:val="center"/>
            </w:pPr>
            <w:r>
              <w:t>0</w:t>
            </w:r>
          </w:p>
        </w:tc>
      </w:tr>
    </w:tbl>
    <w:p w:rsidR="00820A04" w:rsidRDefault="00820A04" w:rsidP="00820A04">
      <w:pPr>
        <w:spacing w:after="200" w:line="276" w:lineRule="auto"/>
        <w:rPr>
          <w:bCs/>
          <w:sz w:val="28"/>
          <w:szCs w:val="28"/>
        </w:rPr>
        <w:sectPr w:rsidR="00820A04" w:rsidSect="00543D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6A27" w:rsidRDefault="00F06A27" w:rsidP="00820A04">
      <w:pPr>
        <w:spacing w:after="200" w:line="276" w:lineRule="auto"/>
        <w:rPr>
          <w:bCs/>
          <w:sz w:val="28"/>
          <w:szCs w:val="28"/>
        </w:rPr>
      </w:pPr>
    </w:p>
    <w:p w:rsidR="00F06A27" w:rsidRPr="00E553E5" w:rsidRDefault="00F06A27" w:rsidP="000326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подлежит официальному опубликованию (обнародованию) в средствах массовой информации и </w:t>
      </w:r>
      <w:r w:rsidR="001949F5">
        <w:rPr>
          <w:bCs/>
          <w:sz w:val="28"/>
          <w:szCs w:val="28"/>
        </w:rPr>
        <w:t>размещению на официальном сайте</w:t>
      </w:r>
      <w:r>
        <w:rPr>
          <w:bCs/>
          <w:sz w:val="28"/>
          <w:szCs w:val="28"/>
        </w:rPr>
        <w:t xml:space="preserve"> Бабушкинского муниципального округа в информационно-телекоммуникац</w:t>
      </w:r>
      <w:r w:rsidR="000326E0">
        <w:rPr>
          <w:bCs/>
          <w:sz w:val="28"/>
          <w:szCs w:val="28"/>
        </w:rPr>
        <w:t>ионной сети «Интернет», вступает в силу со дня опубликования.</w:t>
      </w:r>
    </w:p>
    <w:p w:rsidR="00F06A27" w:rsidRPr="00D679D1" w:rsidRDefault="000326E0" w:rsidP="00F06A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06A27">
        <w:rPr>
          <w:sz w:val="28"/>
          <w:szCs w:val="28"/>
        </w:rPr>
        <w:t xml:space="preserve">. </w:t>
      </w:r>
      <w:proofErr w:type="gramStart"/>
      <w:r w:rsidR="00F06A27" w:rsidRPr="00D679D1">
        <w:rPr>
          <w:sz w:val="28"/>
          <w:szCs w:val="28"/>
        </w:rPr>
        <w:t xml:space="preserve">Контроль </w:t>
      </w:r>
      <w:r w:rsidR="00F06A27">
        <w:rPr>
          <w:sz w:val="28"/>
          <w:szCs w:val="28"/>
        </w:rPr>
        <w:t>за</w:t>
      </w:r>
      <w:proofErr w:type="gramEnd"/>
      <w:r w:rsidR="00F06A27" w:rsidRPr="00D679D1">
        <w:rPr>
          <w:sz w:val="28"/>
          <w:szCs w:val="28"/>
        </w:rPr>
        <w:t xml:space="preserve"> исполнением постановления</w:t>
      </w:r>
      <w:r w:rsidR="00F06A27">
        <w:rPr>
          <w:sz w:val="28"/>
          <w:szCs w:val="28"/>
        </w:rPr>
        <w:t xml:space="preserve"> возложить на начальника Управления делами и обеспечения деятельности администрации округа.</w:t>
      </w:r>
    </w:p>
    <w:p w:rsidR="00F06A27" w:rsidRDefault="00F06A27" w:rsidP="00F06A27">
      <w:pPr>
        <w:spacing w:line="276" w:lineRule="auto"/>
        <w:jc w:val="both"/>
        <w:rPr>
          <w:bCs/>
          <w:sz w:val="28"/>
          <w:szCs w:val="28"/>
        </w:rPr>
      </w:pPr>
    </w:p>
    <w:p w:rsidR="00F06A27" w:rsidRPr="00D40961" w:rsidRDefault="00F06A27" w:rsidP="00F06A27">
      <w:pPr>
        <w:spacing w:line="276" w:lineRule="auto"/>
        <w:jc w:val="both"/>
        <w:rPr>
          <w:sz w:val="28"/>
        </w:rPr>
      </w:pPr>
    </w:p>
    <w:p w:rsidR="00F06A27" w:rsidRPr="008C4540" w:rsidRDefault="00F06A27" w:rsidP="00F06A27">
      <w:pPr>
        <w:spacing w:line="276" w:lineRule="auto"/>
        <w:rPr>
          <w:sz w:val="28"/>
        </w:rPr>
      </w:pPr>
      <w:r>
        <w:rPr>
          <w:sz w:val="28"/>
        </w:rPr>
        <w:t>Глава округа                                                                                      Т.С. Жирохова</w:t>
      </w:r>
    </w:p>
    <w:p w:rsidR="00543D94" w:rsidRDefault="00543D94">
      <w:pPr>
        <w:sectPr w:rsidR="00543D94" w:rsidSect="00820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D94" w:rsidRDefault="00543D94"/>
    <w:sectPr w:rsidR="00543D94" w:rsidSect="00543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5A1"/>
    <w:multiLevelType w:val="hybridMultilevel"/>
    <w:tmpl w:val="B590D256"/>
    <w:lvl w:ilvl="0" w:tplc="2D84AE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E0431F"/>
    <w:multiLevelType w:val="multilevel"/>
    <w:tmpl w:val="73CCD3E0"/>
    <w:lvl w:ilvl="0">
      <w:start w:val="202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0AB3965"/>
    <w:multiLevelType w:val="hybridMultilevel"/>
    <w:tmpl w:val="BC6C2D5C"/>
    <w:lvl w:ilvl="0" w:tplc="6360F982">
      <w:start w:val="1"/>
      <w:numFmt w:val="decimal"/>
      <w:lvlText w:val="%1)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3">
    <w:nsid w:val="77815DB0"/>
    <w:multiLevelType w:val="hybridMultilevel"/>
    <w:tmpl w:val="7098FD86"/>
    <w:lvl w:ilvl="0" w:tplc="34C0FA8C">
      <w:start w:val="2026"/>
      <w:numFmt w:val="decimal"/>
      <w:lvlText w:val="%1"/>
      <w:lvlJc w:val="left"/>
      <w:pPr>
        <w:ind w:left="8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9AF117F"/>
    <w:multiLevelType w:val="hybridMultilevel"/>
    <w:tmpl w:val="F3B8982A"/>
    <w:lvl w:ilvl="0" w:tplc="59B6389A">
      <w:start w:val="65535"/>
      <w:numFmt w:val="bullet"/>
      <w:lvlText w:val="-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6A27"/>
    <w:rsid w:val="000326E0"/>
    <w:rsid w:val="000E4DA5"/>
    <w:rsid w:val="001949F5"/>
    <w:rsid w:val="002D7990"/>
    <w:rsid w:val="00302044"/>
    <w:rsid w:val="00543D94"/>
    <w:rsid w:val="007C3A46"/>
    <w:rsid w:val="00820A04"/>
    <w:rsid w:val="00C63794"/>
    <w:rsid w:val="00E06622"/>
    <w:rsid w:val="00F04351"/>
    <w:rsid w:val="00F06A27"/>
    <w:rsid w:val="00FB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6A27"/>
    <w:pPr>
      <w:ind w:left="708"/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06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3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3D9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5AD10-AF17-4D57-807A-76B6EAA6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2024-01-09T07:00:00Z</cp:lastPrinted>
  <dcterms:created xsi:type="dcterms:W3CDTF">2023-12-28T14:56:00Z</dcterms:created>
  <dcterms:modified xsi:type="dcterms:W3CDTF">2024-01-09T07:00:00Z</dcterms:modified>
</cp:coreProperties>
</file>