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865230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4A153A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450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утверждении Поряд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а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разработки, реализации и оценки эффективности муниципальных программ Бабушкинского мун</w:t>
      </w:r>
      <w:r w:rsidR="00653196">
        <w:rPr>
          <w:rStyle w:val="af1"/>
          <w:rFonts w:ascii="Times New Roman" w:hAnsi="Times New Roman"/>
          <w:b/>
          <w:i w:val="0"/>
          <w:sz w:val="28"/>
          <w:szCs w:val="28"/>
        </w:rPr>
        <w:t>иципального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округа Вологодской области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о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>ст. 179 Бюджетного кодекса Российской Федерации</w:t>
      </w:r>
      <w:r w:rsidR="00590D53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Федеральным законом от 28 июня 2014 года № 172-ФЗ «О стратегическом планировании в Российской Федерации»,</w:t>
      </w:r>
      <w:r w:rsidR="0066157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C5EA0" w:rsidRPr="004A7DB7">
        <w:rPr>
          <w:rStyle w:val="af1"/>
          <w:rFonts w:ascii="Times New Roman" w:hAnsi="Times New Roman"/>
          <w:i w:val="0"/>
          <w:sz w:val="28"/>
          <w:szCs w:val="28"/>
        </w:rPr>
        <w:t>руководствуясь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методическими р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е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комендациями по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составлению и исполнению бюджето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субъектов Российской Федерации и местных бюджетов на основе государственных (муниципальных) программ,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в целях совершенствования программно-целевого принципа организации бюджетного процесса,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4A7DB7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ПОСТАНОВЛЯЮ</w:t>
      </w:r>
      <w:r w:rsidR="004B36E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66157A" w:rsidRDefault="0061548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Утвердить 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Поряд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ок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 xml:space="preserve"> разработки, реализации и оценки эффективности муниципальных программ Бабушкинского муниципального округа Вологодской области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>, согласно приложению № 1 к настоящему постановлению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E004D9" w:rsidRDefault="00E004D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Признать утратившим силу постановление администрации Бабушкинского муниципального района  Вологодской области от 1 августа 2022 года № 502 « Об утверждении Порядка разработки, реализации и оценки эффективности муниципальных программ Бабушкинского муниципального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района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496E23" w:rsidRP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53196" w:rsidRDefault="0065319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3.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Настоящее постановление подлежит </w:t>
      </w:r>
      <w:r>
        <w:rPr>
          <w:rStyle w:val="af1"/>
          <w:rFonts w:ascii="Times New Roman" w:hAnsi="Times New Roman"/>
          <w:i w:val="0"/>
          <w:sz w:val="28"/>
          <w:szCs w:val="28"/>
        </w:rPr>
        <w:t>опубликованию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496E23" w:rsidRDefault="0065319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4.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Постановление вступает в силу с</w:t>
      </w:r>
      <w:r>
        <w:rPr>
          <w:rStyle w:val="af1"/>
          <w:rFonts w:ascii="Times New Roman" w:hAnsi="Times New Roman"/>
          <w:i w:val="0"/>
          <w:sz w:val="28"/>
          <w:szCs w:val="28"/>
        </w:rPr>
        <w:t>о дня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подписания и распространяется на правоотношения возникшие с 01.01.2023 года.</w:t>
      </w:r>
    </w:p>
    <w:p w:rsidR="00AE695A" w:rsidRDefault="00AE695A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5.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Бабушкинского муниципального округа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>Кулепову Елену Николаевну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                                </w:t>
      </w:r>
    </w:p>
    <w:p w:rsidR="00CC290F" w:rsidRPr="004A7DB7" w:rsidRDefault="004B6980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№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постановлению</w:t>
      </w:r>
    </w:p>
    <w:p w:rsidR="00C83FF2" w:rsidRPr="004A7DB7" w:rsidRDefault="00C83FF2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администрации</w:t>
      </w:r>
      <w:r w:rsidR="004B698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</w:t>
      </w:r>
    </w:p>
    <w:p w:rsidR="004B6980" w:rsidRPr="004A7DB7" w:rsidRDefault="00653196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</w:t>
      </w:r>
    </w:p>
    <w:p w:rsidR="00B92BE9" w:rsidRPr="004A7DB7" w:rsidRDefault="00B92BE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от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 xml:space="preserve">02.05.2023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№</w:t>
      </w:r>
      <w:r w:rsidR="007A7DB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450</w:t>
      </w:r>
    </w:p>
    <w:p w:rsidR="008A2329" w:rsidRPr="004A7DB7" w:rsidRDefault="008A232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</w:p>
    <w:p w:rsidR="008A2329" w:rsidRPr="004A7DB7" w:rsidRDefault="008A232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D676D0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Порядок разработки</w:t>
      </w:r>
      <w:r w:rsidR="00B55E0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,</w:t>
      </w: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b/>
          <w:i w:val="0"/>
          <w:sz w:val="28"/>
          <w:szCs w:val="28"/>
        </w:rPr>
        <w:t>ушкинского муниципального округа</w:t>
      </w:r>
    </w:p>
    <w:p w:rsidR="00AC5EA0" w:rsidRPr="004A7DB7" w:rsidRDefault="00AC5EA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CC290F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1. </w:t>
      </w:r>
      <w:r w:rsidR="00C83FF2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5237A5" w:rsidRPr="004A7DB7" w:rsidRDefault="00B8407B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>.1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Порядок разработки,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(далее – Порядок) разработан в соответствии с бюджетным законодательством, законодательством о местном самоуправлении в Российской Федерации и устанавливает общие принципы и порядок разработки и формирования муниципальных программ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8A2329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В Порядке используются следующие понятия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030626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Муниципальная программа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 (далее -  муниципального округа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>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Бабушкинского мун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ответственный за разработку, формирование, реализацию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1E37ED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Соисполнитель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не являющийся ответственным исполнителем муниципальный программы, но ответственный за разработку, формирование, реализацию подпрограмм, основных мероприятий, входящих в состав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«Участники муниципальной программы» - отраслевые (функциональные) или территориальные органы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не являющиеся ответственными исполнителями и соисполнителями муниципальной программы, а также муниципальные учреждения, прочие организации, участвующие в реализации одного или нескольких мероприятий подпрограммы, 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а также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основных мероприятий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«Основные параметры муниципальной программы» - цель, задачи, мероприятия подпрограмм, основные мероприятия муниципальной программы (далее – основные мероприятия), показатели результативности и эффективности муниципальной программы, объем ресурсов, необходимый для достижения цели муниципальной программы;</w:t>
      </w:r>
    </w:p>
    <w:p w:rsidR="00E46EF4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Проблема социально-экономического развития» - противоречие между желаемым и текущим (действительным) состоянием сферы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«Цель» - планируемый конечный результат решения проблемы социально-экономического развития муниципального образования посредством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«Задача» - 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«Подпрограмма» - система мероприятий, определенных по ресурсам исполнителей и срокам реализации, обеспечивающих эффективное решение конкретных задач в рамках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«Мероприятие» - совокупность взаимосвязанных действий, направленных на решение соответствующей задачи;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«Основное мероприятие» - комплекс взаимосвязанных мероприятий, обеспечивающих переход к новому этапу решения задачи и характеризуемый значимым вкладом в достижение цели муниципальной программы (подпрограммы);</w:t>
      </w:r>
    </w:p>
    <w:p w:rsidR="00F63EC5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«Показатель эффективности и результативности муниципальной программы» - количественно выраженная характеристика уровня достижения цели и решения задач муниципальной программы (далее – показатель муниципальной программы)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«Программно-целевые инструменты» - муниципальные бюджетные программы (подпрограммы) и отдельные мероприятия в установленной сфере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деятельности,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не включенные в подпрограммы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30626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Правовые основания для разработки муниципальных программ установлены статьей 179 Бюджетного кодекса Российской Федерации, согласно которой вопросы определения порядка формирования и реализации муниципальных программ, сроки их реализации относятся к компетенции администрации муниципального образования</w:t>
      </w:r>
      <w:r w:rsidR="00E44AE4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4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 муниципальные программы рекомендуется разрабатывать в соответствии с: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-приоритетами социально-экономического развития муниципального района, определенными стратегией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прогнозом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 средне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срочный или долгосрочный период.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Формирование муниципальных программ осуществляется исходя из принципов: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наиболее полного охвата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установления для муниципальных программ измеримых результатов ее реализации;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наличия у ответственных исполнителей, соисполнителей и участников муниципальных программ полномочий и ресурсов, необходимых для достижения цели муниципальной программы;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проведения регулярной оценки эффективности реализации муниципальных программ, оценки их вклада в решение вопросов развития экономики с возможностью их корректировки или досрочного прекращения, а также установления ответственности должностных лиц в случае неэффективной реализации программ.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Разработка муниципальных программ осуществляется на основании перечня муниципальных программ, утвержденных адми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нистрацией муниципального округа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(в срок 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который должен содержать наименование муниципальных программ и ответственных исполнителей муниципальных программ</w:t>
      </w:r>
      <w:r w:rsidR="006B015D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C0075" w:rsidRPr="004A7DB7" w:rsidRDefault="00BC007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Проект муниципальной программы направляется на обязательное согласование в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,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Управление правового и кадрового обеспечения администрации Бабушкинского муниципального округа, Финансовое У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правление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8.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9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Рекомендуемый срок реализации муниципальной программы должен составлять не менее пяти лет.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0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Муниципальная программа утверждается постановлением администрации муниципал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 xml:space="preserve"> Контроль за ходом реализации муниципальных программ осуществляет </w:t>
      </w:r>
      <w:r w:rsidR="001E5238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программы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Действующая редакция муниципальной программы разм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>ещается на официальном сайте Бабушкинского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информационно-телекоммуникационной сети «Интернет»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63EC5" w:rsidRPr="004A7DB7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порядки и сроки, установленные Постановлением Правительства Российской Федерац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ии от 25 июня 2015 года № 631 «О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66241D" w:rsidRPr="004A7DB7" w:rsidRDefault="0066241D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5237A5" w:rsidRPr="00833D2F" w:rsidRDefault="005237A5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2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F63EC5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Структура муниципальной программы</w:t>
      </w:r>
    </w:p>
    <w:p w:rsidR="00F63EC5" w:rsidRPr="004A7DB7" w:rsidRDefault="00E44AE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При определении структуры муниципальной программы необходимо учитывать структуру органов местного само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управления муниципального округа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и организационно-правовые отношения между ними (полномочия, ответственность и порядок взаимодействия), а также практику применения программно-целевых инструментов.</w:t>
      </w:r>
    </w:p>
    <w:p w:rsidR="005237A5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2.2.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программы, что позволит в дальнейшем провести оценку эффективности бюджетных расходов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реализации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в том числе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эффективность использования бюджетных средств.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муниципальной программы  рекомендуется формулировать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соответствовать приоритетам и целям социально-экономическог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соответствующей сфере и определять конечные результаты реализации муниципальной программы.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Формулировка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цели, а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также описания путей, средств и методов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достижения.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Достижение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обеспечивается решением задач муниципальной программы, которые должны быть сформулированы с учетом необходимости и достаточности для достижения соответствующ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случае формировании в структуре муниципальной программы подпрограмм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рекомендуется применять следующий подход к целеполаганию: решение задачи программы является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целями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подпрограммы, решение задачи подпрограммы осуществляется посредством реализации конкретного мероприятия (основного мероприятия). При этом реализация конкретн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ых задач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муниципальной программы осуществляется в рамках соответствующей подпрограммы.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Задачи подпрограммы не должны дублировать задачи муниципальной 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 Рекомендуемая структура муниципальной программы: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2.3.1. Паспорт муниципальной программы по фор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ме, приведенной в Положении № 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2.3.2.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Текстовая часть (описание) муниципальной программы, состоящая из следующих разделов: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1 «Характеристика проблемы, на решение которой направлена муниципальная программа»;</w:t>
      </w:r>
    </w:p>
    <w:p w:rsidR="00923867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2 «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Приоритеты, ц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ели, задачи муниципальной программы»;</w:t>
      </w:r>
    </w:p>
    <w:p w:rsidR="00296BC2" w:rsidRPr="004A7DB7" w:rsidRDefault="00296BC2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 «Целевые показатели»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2, 5)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4 «Основные мероприятия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3)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133C79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522D40" w:rsidRPr="004A7DB7">
        <w:rPr>
          <w:rStyle w:val="af1"/>
          <w:rFonts w:ascii="Times New Roman" w:hAnsi="Times New Roman"/>
          <w:i w:val="0"/>
          <w:sz w:val="28"/>
          <w:szCs w:val="28"/>
        </w:rPr>
        <w:t>Финансовое обеспечение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муниципальных 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1A5C17">
        <w:rPr>
          <w:rStyle w:val="af1"/>
          <w:rFonts w:ascii="Times New Roman" w:hAnsi="Times New Roman"/>
          <w:i w:val="0"/>
          <w:sz w:val="28"/>
          <w:szCs w:val="28"/>
        </w:rPr>
        <w:t xml:space="preserve">, «Финансовое обеспечение подпрограмм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муниципальных программ»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4, 6)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45C08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BC0075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«Перечень подпрограмм муниципальной программы»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4"/>
          <w:szCs w:val="28"/>
        </w:rPr>
        <w:t>(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при наличии)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7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Управление, контроль и оценка эффективности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7)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A0F20" w:rsidRPr="004320D0" w:rsidRDefault="006A0F20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К содержанию разделов муниципальной программы предъявляются следующие требования: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1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– это вводная часть, посвященная описанию ситуации в сфере реализации муниципальной программы или ее подпрограммы.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Обозначенные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здесь проблемы должны находить отражение в задачах и системе мероприятий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2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– в нем необходимо отразить вопросы местного значения, а также переданные государственные полномочия, которые реализуются в рамках программы. На основе проведенного анализа прио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ритетов,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проблем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сфере деятельности формулируются цели и задачи муниципальной программы или ее подпрограммы. Для каждой цели и задачи должен быть сформулирован хотя бы один целевой показатель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– 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сопровождается Приложением № 2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котором должны быть определены значения целевых показателей на каждый год реализации программы. Это обязательная составляющая программы. Прогнозирование значений целевых показателей должно осуществляться с учетом поставленных целей и задач, а также имеющихся ресурсных возм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ожностей. В последующем, именно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целевые показатели станут объектом контроля для оценки результатов деятельности ответственных исполнителей и координаторов программы;</w:t>
      </w:r>
    </w:p>
    <w:p w:rsidR="00133C79" w:rsidRPr="004A7DB7" w:rsidRDefault="00296BC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4 – сведения об основных мероприятиях програ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ммы содержатся в Приложении № 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Это также основная составляющая программы. При необходимости основные мероприятия можно детализировать на мероприятия, при этом в текстовой части даются дополнительные комментарии. Основные меро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приятия, также как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мероприятия должны быть направлены на дост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ижение целей и задач программы. Для каждого мероприятия указываются целевые показатели, на достижении которых влияет 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соответствующее мероприятие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. Взаимосвязь системы мероприятий с целевыми показателями позволяет лучше понять, на какие цели работает мероприятие и достаточно ли мероприятий для достижения поставленных целей. При формировании системы мероприятий нужно помнить о вопросах местного значения и переданных государственных полномочиях. Система мероприятий обязательно должна состыко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вы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ваться с бюджетом, поэтому при разработке нужно использовать аналитическое распределение бюджетных ассигнований по муниципальным программам. В этой части следует уделять особое внимание формулировкам, для того чтобы впоследствии их можно было использовать для наименования целевых статей. Для каждого мероприятия должен быть определен ответственный исполнитель, срок выполнения мероприя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тия, непосредственный результат,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которые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впоследствии станут объектами контроля.</w:t>
      </w:r>
      <w:r w:rsidR="00133C7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Для определения непосредственного результата целесообразно использовать количественные критерии. </w:t>
      </w:r>
    </w:p>
    <w:p w:rsidR="006A0F20" w:rsidRPr="004A7DB7" w:rsidRDefault="00133C7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содержит информацию об общем объеме финансирования муниципальной программы в 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разрезе по срокам финансирования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включает перечень подпрограмм муниципальной программы. По каждой подпрограмме указываются: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цели и задачи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основные мероприятия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описание ожидаемых результатов реализации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объемы и источники финансирования подпрограммы в разрезе по срокам реализации подпрограммы.</w:t>
      </w:r>
    </w:p>
    <w:p w:rsidR="00833D2F" w:rsidRDefault="008473C1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– содержит информацию об управлении, осуществлении контроля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оценки эффективности реализации программы. Текущее управление реализацией муниципальной программы осуществляет ответственный исполнитель, который в процессе реализации муниципальной программы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</w:t>
      </w:r>
      <w:r w:rsid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пределах бюджетных ассигнований на реализацию муниципальной программы в целом.</w:t>
      </w:r>
    </w:p>
    <w:p w:rsidR="00653196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Контроль за реализацией программы осуществляет 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ответственный исполнитель муниципальной программы. </w:t>
      </w:r>
    </w:p>
    <w:p w:rsidR="00B47C29" w:rsidRPr="004A7DB7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Оценка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эффекти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вности муниципальной программы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>представляет собой определение степени достижения запланированных результатов и осуществляется с учетом особенностей программы (сопоставление достигнутых социальных, бюджетных и др. результатов и фактических объ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емов расходов на их достижение) и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>проводится по итогам реализации программы за отчетный финансовый год и в целом после завершения реализации муниципальной программы на основе отчетов, представляемых ответственным исполнителем программы.</w:t>
      </w:r>
    </w:p>
    <w:p w:rsidR="006A0F20" w:rsidRPr="004A7DB7" w:rsidRDefault="006A0F2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1C0479" w:rsidRPr="00833D2F" w:rsidRDefault="001C0479" w:rsidP="00833D2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3</w:t>
      </w:r>
      <w:r w:rsidR="00AD131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. </w:t>
      </w:r>
      <w:r w:rsidR="00511FF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Финансовое обеспечение реализации муниципальной программы</w:t>
      </w:r>
    </w:p>
    <w:p w:rsidR="00DF78A1" w:rsidRPr="004A7DB7" w:rsidRDefault="00DE2FE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</w:t>
      </w:r>
      <w:r w:rsidR="00DB239B"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муниципального образования осуществляется за счет средств бюджетных ассигнований муниципального </w:t>
      </w:r>
      <w:r w:rsidR="003923DF" w:rsidRPr="004A7DB7">
        <w:rPr>
          <w:rStyle w:val="af1"/>
          <w:rFonts w:ascii="Times New Roman" w:hAnsi="Times New Roman"/>
          <w:i w:val="0"/>
          <w:sz w:val="28"/>
          <w:szCs w:val="28"/>
        </w:rPr>
        <w:t>образования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, утвержденных решением П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>редставительного Собрания округа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3.2. Согласно ст. 179 Бюджетного кодекса Российской Федерации муниципальные программы, предлагаемые к реализации начиная с очередного финансового года, утверждаются в сроки, установленные администрацией Баб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то есть в текущем финансовом году до начала реализации соответствующей муниципальной программы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(до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6241D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муниципальной программы принимаются при формировании проекта решения о бюджете.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этой связи при разработке и утверждении в текущем финансовом году новой муниципальной программы</w:t>
      </w:r>
      <w:r w:rsidR="00A048DA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начало ее реализации должно предусматриваться с очередного финансового года. Одновременно при необходимости возможно аналитическое (справочное) отражение в формируемой муниципальной программе соответствующих расходов на </w:t>
      </w:r>
      <w:r w:rsidR="00A048DA"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текущий финансовый год (при их наличии) по применяемым в текущем финансовом году кодам бюджетной классификации.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п. 2 ст. 179 Бюджетного Кодекса Российской Федерации 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ст. 5 Бюджетного Кодекса Российской Федерации решение о бюджете вступает в силу с 1 января, в связи, с чем Бюджетным кодексом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Российской Федерации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предусматривается обязательность приведения муниципальных программ в соответствие с первоначальной редакцией решения о бюджете.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Корректировка муниципальных программ в случае внесения изменения в решение о бюджете целесообразна в случаях, когда планируемые изменения бюджетных ассигнований оказывают значительное влияние на показатели муниципальной программы и ожидаемые результаты муниципальных программ.</w:t>
      </w:r>
    </w:p>
    <w:p w:rsidR="00A048DA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целом, при уточнении объемов финансового обеспечения реализации муниципальной программы основные параметры муниципальной программы (в том числе показатели программы, входящих в ее состав подпрограмм, ожидаемые результаты) подлежат корректировке при необходимости в случаях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и порядке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установленных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настоящим Порядком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F1D6C" w:rsidRDefault="00FF1D6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FF1D6C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4.Внесение изменений в муниципальную программу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FD4D31">
        <w:rPr>
          <w:rStyle w:val="af1"/>
          <w:rFonts w:ascii="Times New Roman" w:hAnsi="Times New Roman"/>
          <w:i w:val="0"/>
          <w:sz w:val="28"/>
          <w:szCs w:val="28"/>
        </w:rPr>
        <w:t>4.1.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муниципальную программу могут быть внесены изменения в случаях: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необходимости включения дополнительных мероприятий</w:t>
      </w:r>
      <w:r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изменения планируемых результатов реализации муниципальной программы;</w:t>
      </w:r>
    </w:p>
    <w:p w:rsidR="00D636DD" w:rsidRDefault="005609C2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принятия решения о необходимости изменения объемов финансирования мероприятий муниципальной программы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609C2" w:rsidRPr="00FD4D31" w:rsidRDefault="00D636DD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иных случаях, предусмотренных законодательством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B2C08" w:rsidRPr="000B2C08" w:rsidRDefault="000B2C08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6778F1" w:rsidRPr="000B2C08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5.Контроль за ходом  выполнения муниципальной программы</w:t>
      </w:r>
    </w:p>
    <w:p w:rsidR="006778F1" w:rsidRDefault="006778F1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5.1. Контроль</w:t>
      </w:r>
      <w:r w:rsidR="000B2C08">
        <w:rPr>
          <w:rStyle w:val="af1"/>
          <w:rFonts w:ascii="Times New Roman" w:hAnsi="Times New Roman"/>
          <w:i w:val="0"/>
          <w:sz w:val="28"/>
          <w:szCs w:val="28"/>
        </w:rPr>
        <w:t xml:space="preserve"> реализации муниципальных программ  осуществляется на основе ежеквартальных отчетов по итогам первого квартала, первого полугодия и девяти месяцев отчетного года (далее – ежеквартальный отчет),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0B2C08" w:rsidRPr="004A7DB7" w:rsidRDefault="000B2C08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5.2. Составление ежеквартальных и годового отчетов,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A048DA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Ежеквартальные и годовой отчеты о реализации муниципальной программы, утвержденные ответственным исполнителем, направляются в 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развития.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5.4. С</w:t>
      </w:r>
      <w:r>
        <w:rPr>
          <w:rStyle w:val="af1"/>
          <w:rFonts w:ascii="Times New Roman" w:hAnsi="Times New Roman"/>
          <w:i w:val="0"/>
          <w:sz w:val="28"/>
          <w:szCs w:val="28"/>
        </w:rPr>
        <w:t>роки предоставления отчетов: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ежеквартальный отчет - в течении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2</w:t>
      </w:r>
      <w:r>
        <w:rPr>
          <w:rStyle w:val="af1"/>
          <w:rFonts w:ascii="Times New Roman" w:hAnsi="Times New Roman"/>
          <w:i w:val="0"/>
          <w:sz w:val="28"/>
          <w:szCs w:val="28"/>
        </w:rPr>
        <w:t>0 рабочих дней после окончания отчетного периода;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годовой  отчет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–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до 10 марта года, следующего за отчетным.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5.5. Отчет должен содержать следующие сведения: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достигнутых значениях целевых показателей (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индикаторов) муниципальной программы –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выполнении основных мероприятий муниципальной программы –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по форме согласно приложению № 8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отчет о расходах на реализацию муниципальной программы за счет всех источников финансирования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9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сведения о внесенных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за отчетный период изменениях в муниципальную программу – по форме согласно приложению №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10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</w:t>
      </w:r>
      <w:r w:rsidRPr="004320D0">
        <w:rPr>
          <w:rStyle w:val="af1"/>
          <w:rFonts w:ascii="Times New Roman" w:hAnsi="Times New Roman"/>
          <w:i w:val="0"/>
          <w:sz w:val="28"/>
          <w:szCs w:val="28"/>
        </w:rPr>
        <w:t>. К годовому отчету прилагаются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: 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D34218" w:rsidRPr="00FD0EE2">
        <w:rPr>
          <w:rStyle w:val="af1"/>
          <w:rFonts w:ascii="Times New Roman" w:hAnsi="Times New Roman"/>
          <w:i w:val="0"/>
          <w:sz w:val="28"/>
          <w:szCs w:val="28"/>
        </w:rPr>
        <w:t>5.6.1. Р</w:t>
      </w:r>
      <w:r w:rsidRPr="00FD0EE2">
        <w:rPr>
          <w:rStyle w:val="af1"/>
          <w:rFonts w:ascii="Times New Roman" w:hAnsi="Times New Roman"/>
          <w:i w:val="0"/>
          <w:sz w:val="28"/>
          <w:szCs w:val="28"/>
        </w:rPr>
        <w:t>езультаты оценки эффективности муниципальной</w:t>
      </w:r>
      <w:r w:rsidR="00EC1560" w:rsidRPr="00FD0EE2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 – по форме согласно приложению 11 к настоящему Порядку</w:t>
      </w:r>
      <w:r w:rsidR="00FD0EE2" w:rsidRPr="00FD0EE2">
        <w:rPr>
          <w:rStyle w:val="af1"/>
          <w:rFonts w:ascii="Times New Roman" w:hAnsi="Times New Roman"/>
          <w:i w:val="0"/>
          <w:sz w:val="28"/>
          <w:szCs w:val="28"/>
        </w:rPr>
        <w:t>, с предоставлением расчета эффективности муниципальной программы по форме согласно приложению 12 к настоящему Порядку;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5.6.2.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Пояснительная записка о ходе реализации муниципальной программы, в составе которой приводятся следующие сведения: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а) </w:t>
      </w:r>
      <w:r>
        <w:rPr>
          <w:rStyle w:val="af1"/>
          <w:rFonts w:ascii="Times New Roman" w:hAnsi="Times New Roman"/>
          <w:i w:val="0"/>
          <w:sz w:val="28"/>
          <w:szCs w:val="28"/>
        </w:rPr>
        <w:t>основные результаты реализации муниципальной программы, достигнутые в отчетном периоде;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б) </w:t>
      </w:r>
      <w:r>
        <w:rPr>
          <w:rStyle w:val="af1"/>
          <w:rFonts w:ascii="Times New Roman" w:hAnsi="Times New Roman"/>
          <w:i w:val="0"/>
          <w:sz w:val="28"/>
          <w:szCs w:val="28"/>
        </w:rPr>
        <w:t>анализ факторов, повлиявших на ход реализации муниципальной программы;</w:t>
      </w:r>
    </w:p>
    <w:p w:rsidR="00F60F29" w:rsidRDefault="00F60F29" w:rsidP="00F60F29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в)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 xml:space="preserve">обоснование причин (при наличии соответствующих факторов): </w:t>
      </w:r>
    </w:p>
    <w:p w:rsidR="00D34218" w:rsidRDefault="00F60F29" w:rsidP="00F60F29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>отклонение достигнутых в отчетном периоде значений целевых показателей (индикаторов) от плановых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(как в большую, так и в меньшую сторону), а также изменений в этой связи плановых значений показателей на предстоящий период;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невыполнение одних целевых показателей (индикаторов) в сочетании с перевыполнением других;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экономии бюджетных ассигнований на реализацию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перераспределения бюджетных ассигнований между мероприятиями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5.6.3. 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5.7 Оценка эффективности реализации муниципальных программ проводится на основе годовых отчетов о реализации муниципальных программ в соответствии с Методикой, содержащейся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в приложении № 12</w:t>
      </w:r>
      <w:r w:rsidR="00CA2739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 Результаты муниципальных программ рассматриваются на комиссии по повышению эффективности бюджетных расходов.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5.8. Комиссия по повышению эффективности бюджетных расходов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 утвержденная постановлением Администрации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4755ED">
        <w:rPr>
          <w:rStyle w:val="af1"/>
          <w:rFonts w:ascii="Times New Roman" w:hAnsi="Times New Roman"/>
          <w:i w:val="0"/>
          <w:sz w:val="28"/>
          <w:szCs w:val="28"/>
        </w:rPr>
        <w:t xml:space="preserve"> от 31.01.2023 года № 96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в срок до 1 апреля года, следующего за отчетным рассматривает результаты оценки эффективности реализации муниципальной программы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 xml:space="preserve"> после чего Отдел экономики и отраслевого развития Администрации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готовит 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сводный отчет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об эффективности реализации муниципальной программы (подпрограммы), содержащий вывод эффективности реализации муниципальной программы (подпрограммы): высокий, удовлетворительный, неудовлетворительный. 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5.9. при неудовлетворительной эффективности реализации муниципальной программы (подпрограммы) Комиссией по повышению эффективности бюджетных расходов принимаются решения: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 досрочном прекращении реализации, начиная с очередного финансового года муниципальных программ (подпрограмм);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 применении мер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дисциплинарного </w:t>
      </w:r>
      <w:r>
        <w:rPr>
          <w:rStyle w:val="af1"/>
          <w:rFonts w:ascii="Times New Roman" w:hAnsi="Times New Roman"/>
          <w:i w:val="0"/>
          <w:sz w:val="28"/>
          <w:szCs w:val="28"/>
        </w:rPr>
        <w:t>воздействия на должностных лиц, ответственных за реализацию муниципальных программ (подпрограмм).</w:t>
      </w:r>
    </w:p>
    <w:p w:rsidR="003958ED" w:rsidRPr="007D5746" w:rsidRDefault="00CA2739" w:rsidP="004275AB">
      <w:pPr>
        <w:pStyle w:val="af2"/>
        <w:ind w:firstLine="708"/>
        <w:jc w:val="both"/>
        <w:rPr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5.10. Ежегодные отчеты о реализации муниципальных программ, результаты оценки эффективности муниципальных программ подлежат размещению на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58ED" w:rsidRDefault="003958ED" w:rsidP="003958ED"/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70" w:rsidRDefault="00605D70" w:rsidP="00E34500">
      <w:pPr>
        <w:spacing w:after="0" w:line="240" w:lineRule="auto"/>
      </w:pPr>
      <w:r>
        <w:separator/>
      </w:r>
    </w:p>
  </w:endnote>
  <w:endnote w:type="continuationSeparator" w:id="1">
    <w:p w:rsidR="00605D70" w:rsidRDefault="00605D70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70" w:rsidRDefault="00605D70" w:rsidP="00E34500">
      <w:pPr>
        <w:spacing w:after="0" w:line="240" w:lineRule="auto"/>
      </w:pPr>
      <w:r>
        <w:separator/>
      </w:r>
    </w:p>
  </w:footnote>
  <w:footnote w:type="continuationSeparator" w:id="1">
    <w:p w:rsidR="00605D70" w:rsidRDefault="00605D70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58254F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E2284B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350"/>
    <w:rsid w:val="000C1671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5C17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644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67F3F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53A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54F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5D70"/>
    <w:rsid w:val="006060B3"/>
    <w:rsid w:val="00607335"/>
    <w:rsid w:val="00607505"/>
    <w:rsid w:val="0060757A"/>
    <w:rsid w:val="00612EA6"/>
    <w:rsid w:val="00613065"/>
    <w:rsid w:val="0061387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67EFB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E6B0C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84B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08F7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2023-05-03T11:55:00Z</cp:lastPrinted>
  <dcterms:created xsi:type="dcterms:W3CDTF">2023-05-11T07:41:00Z</dcterms:created>
  <dcterms:modified xsi:type="dcterms:W3CDTF">2023-05-11T07:41:00Z</dcterms:modified>
</cp:coreProperties>
</file>